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Einstweilige Anordnung: vorläufiger Unterhalt</w:t>
      </w:r>
    </w:p>
    <w:p>
      <w:pPr>
        <w:jc w:val="left"/>
      </w:pPr>
      <w:r>
        <w:t>Für die Zwischenzeit bis zur Auskunftserteilung kommt ein Antrag auf einstweilige Anordnung in Betracht. Ziel ist nicht die endgültige Unterhaltsberechnung, sondern die Sicherung der laufenden Miete, des Kindesbedarfs und der Kranken-/Schulkosten.</w:t>
      </w:r>
    </w:p>
    <w:p>
      <w:pPr>
        <w:jc w:val="left"/>
      </w:pPr>
      <w:r>
        <w:t>Vorläufige Bezifferung aus Mandantensicht: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bisherige Gesamtzahlung Joris Februar</w:t>
            </w:r>
          </w:p>
        </w:tc>
        <w:tc>
          <w:tcPr>
            <w:tcW w:type="dxa" w:w="4536"/>
          </w:tcPr>
          <w:p>
            <w:r>
              <w:rPr>
                <w:rFonts w:ascii="Times New Roman" w:hAnsi="Times New Roman"/>
                <w:sz w:val="20"/>
              </w:rPr>
              <w:t>2.250,00 EUR</w:t>
            </w:r>
          </w:p>
        </w:tc>
      </w:tr>
      <w:tr>
        <w:tc>
          <w:tcPr>
            <w:tcW w:type="dxa" w:w="4536"/>
          </w:tcPr>
          <w:p>
            <w:r>
              <w:rPr>
                <w:rFonts w:ascii="Times New Roman" w:hAnsi="Times New Roman"/>
                <w:sz w:val="20"/>
              </w:rPr>
              <w:t>aktuelle Zahlung seit April</w:t>
            </w:r>
          </w:p>
        </w:tc>
        <w:tc>
          <w:tcPr>
            <w:tcW w:type="dxa" w:w="4536"/>
          </w:tcPr>
          <w:p>
            <w:r>
              <w:rPr>
                <w:rFonts w:ascii="Times New Roman" w:hAnsi="Times New Roman"/>
                <w:sz w:val="20"/>
              </w:rPr>
              <w:t>900,00 EUR</w:t>
            </w:r>
          </w:p>
        </w:tc>
      </w:tr>
      <w:tr>
        <w:tc>
          <w:tcPr>
            <w:tcW w:type="dxa" w:w="4536"/>
          </w:tcPr>
          <w:p>
            <w:r>
              <w:rPr>
                <w:rFonts w:ascii="Times New Roman" w:hAnsi="Times New Roman"/>
                <w:sz w:val="20"/>
              </w:rPr>
              <w:t>Warmmiete Ehewohnung</w:t>
            </w:r>
          </w:p>
        </w:tc>
        <w:tc>
          <w:tcPr>
            <w:tcW w:type="dxa" w:w="4536"/>
          </w:tcPr>
          <w:p>
            <w:r>
              <w:rPr>
                <w:rFonts w:ascii="Times New Roman" w:hAnsi="Times New Roman"/>
                <w:sz w:val="20"/>
              </w:rPr>
              <w:t>1.780,00 EUR</w:t>
            </w:r>
          </w:p>
        </w:tc>
      </w:tr>
      <w:tr>
        <w:tc>
          <w:tcPr>
            <w:tcW w:type="dxa" w:w="4536"/>
          </w:tcPr>
          <w:p>
            <w:r>
              <w:rPr>
                <w:rFonts w:ascii="Times New Roman" w:hAnsi="Times New Roman"/>
                <w:sz w:val="20"/>
              </w:rPr>
              <w:t>Hort Bent</w:t>
            </w:r>
          </w:p>
        </w:tc>
        <w:tc>
          <w:tcPr>
            <w:tcW w:type="dxa" w:w="4536"/>
          </w:tcPr>
          <w:p>
            <w:r>
              <w:rPr>
                <w:rFonts w:ascii="Times New Roman" w:hAnsi="Times New Roman"/>
                <w:sz w:val="20"/>
              </w:rPr>
              <w:t>158,00 EUR</w:t>
            </w:r>
          </w:p>
        </w:tc>
      </w:tr>
      <w:tr>
        <w:tc>
          <w:tcPr>
            <w:tcW w:type="dxa" w:w="4536"/>
          </w:tcPr>
          <w:p>
            <w:r>
              <w:rPr>
                <w:rFonts w:ascii="Times New Roman" w:hAnsi="Times New Roman"/>
                <w:sz w:val="20"/>
              </w:rPr>
              <w:t>Nachhilfe Tilda</w:t>
            </w:r>
          </w:p>
        </w:tc>
        <w:tc>
          <w:tcPr>
            <w:tcW w:type="dxa" w:w="4536"/>
          </w:tcPr>
          <w:p>
            <w:r>
              <w:rPr>
                <w:rFonts w:ascii="Times New Roman" w:hAnsi="Times New Roman"/>
                <w:sz w:val="20"/>
              </w:rPr>
              <w:t>185,00 EUR</w:t>
            </w:r>
          </w:p>
        </w:tc>
      </w:tr>
      <w:tr>
        <w:tc>
          <w:tcPr>
            <w:tcW w:type="dxa" w:w="4536"/>
          </w:tcPr>
          <w:p>
            <w:r>
              <w:rPr>
                <w:rFonts w:ascii="Times New Roman" w:hAnsi="Times New Roman"/>
                <w:sz w:val="20"/>
              </w:rPr>
              <w:t>geschätzte Unterdeckung monatlich</w:t>
            </w:r>
          </w:p>
        </w:tc>
        <w:tc>
          <w:tcPr>
            <w:tcW w:type="dxa" w:w="4536"/>
          </w:tcPr>
          <w:p>
            <w:r>
              <w:rPr>
                <w:rFonts w:ascii="Times New Roman" w:hAnsi="Times New Roman"/>
                <w:sz w:val="20"/>
              </w:rPr>
              <w:t>1.100,00 EUR bis 1.450,00 EUR</w:t>
            </w:r>
          </w:p>
        </w:tc>
      </w:tr>
    </w:tbl>
    <w:p>
      <w:pPr>
        <w:jc w:val="left"/>
      </w:pPr>
      <w:r>
        <w:t>Die Akte enthält keine sichere Endberechnung. Das System soll deshalb einen vorsichtigen EA-Antrag formulieren, der Mindestunterhalt der Kinder, Mehrbedarf und einen vorläufigen Trennungsunterhalt verlangt, ohne die spätere Stufenklage zu präjudizieren.</w:t>
      </w:r>
    </w:p>
    <w:p>
      <w:pPr>
        <w:pStyle w:val="Heading2"/>
      </w:pPr>
      <w:r>
        <w:t>Aktuelle Deckungslücke</w:t>
      </w:r>
    </w:p>
    <w:p>
      <w:r>
        <w:t>Lene verfügt nach Eingang ihres Gehalts und Kindergelds im Juni über 3159 Euro. Dem stehen Warmmiete von 1780 Euro, Hort und Nachhilfe von zusammen 343 Euro, Versicherungen, Fahrtkosten und laufender Lebensunterhalt gegenüber. Joris zahlte nur 900 Euro. Die Klassenfahrtanzahlung von 240 Euro wurde bereits aus dem Dispositionskredit beglichen.</w:t>
      </w:r>
    </w:p>
    <w:p>
      <w:r>
        <w:t>Für einen vorläufigen Antrag werden Kontoauszüge, Mietvertrag, Kinderkosten, bisherige Zahlungen und die Kürzungsankündigung getrennt als Anlagen vorbereitet. Der Antrag soll den kurzfristig benötigten Betrag nachvollziehbar herleiten und zugleich offenlegen, dass das Einkommen von Joris mangels Auskunft nur vorläufig geschätzt werden kann.</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10_einstweilige_anordnung_vorlaeufiger_unterhalt.docx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Harms ./. Harms · vorläufiger Unterhalt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