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Belegmatrix, Lücken und Beweiswert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Thema</w:t>
            </w:r>
          </w:p>
        </w:tc>
        <w:tc>
          <w:tcPr>
            <w:tcW w:type="dxa" w:w="2268"/>
          </w:tcPr>
          <w:p>
            <w:r>
              <w:rPr>
                <w:rFonts w:ascii="Times New Roman" w:hAnsi="Times New Roman"/>
                <w:b/>
                <w:sz w:val="20"/>
              </w:rPr>
              <w:t>Vorhanden</w:t>
            </w:r>
          </w:p>
        </w:tc>
        <w:tc>
          <w:tcPr>
            <w:tcW w:type="dxa" w:w="2268"/>
          </w:tcPr>
          <w:p>
            <w:r>
              <w:rPr>
                <w:rFonts w:ascii="Times New Roman" w:hAnsi="Times New Roman"/>
                <w:b/>
                <w:sz w:val="20"/>
              </w:rPr>
              <w:t>Fehlt</w:t>
            </w:r>
          </w:p>
        </w:tc>
        <w:tc>
          <w:tcPr>
            <w:tcW w:type="dxa" w:w="2268"/>
          </w:tcPr>
          <w:p>
            <w:r>
              <w:rPr>
                <w:rFonts w:ascii="Times New Roman" w:hAnsi="Times New Roman"/>
                <w:b/>
                <w:sz w:val="20"/>
              </w:rPr>
              <w:t>Bedeutung</w:t>
            </w:r>
          </w:p>
        </w:tc>
      </w:tr>
      <w:tr>
        <w:tc>
          <w:tcPr>
            <w:tcW w:type="dxa" w:w="2268"/>
          </w:tcPr>
          <w:p>
            <w:r>
              <w:rPr>
                <w:rFonts w:ascii="Times New Roman" w:hAnsi="Times New Roman"/>
                <w:sz w:val="20"/>
              </w:rPr>
              <w:t>Einkommen Lene</w:t>
            </w:r>
          </w:p>
        </w:tc>
        <w:tc>
          <w:tcPr>
            <w:tcW w:type="dxa" w:w="2268"/>
          </w:tcPr>
          <w:p>
            <w:r>
              <w:rPr>
                <w:rFonts w:ascii="Times New Roman" w:hAnsi="Times New Roman"/>
                <w:sz w:val="20"/>
              </w:rPr>
              <w:t>Gehaltsabrechnungen Jan-Mai 2026, Arbeitgeberbescheinigung</w:t>
            </w:r>
          </w:p>
        </w:tc>
        <w:tc>
          <w:tcPr>
            <w:tcW w:type="dxa" w:w="2268"/>
          </w:tcPr>
          <w:p>
            <w:r>
              <w:rPr>
                <w:rFonts w:ascii="Times New Roman" w:hAnsi="Times New Roman"/>
                <w:sz w:val="20"/>
              </w:rPr>
              <w:t>Steuerbescheid 2025</w:t>
            </w:r>
          </w:p>
        </w:tc>
        <w:tc>
          <w:tcPr>
            <w:tcW w:type="dxa" w:w="2268"/>
          </w:tcPr>
          <w:p>
            <w:r>
              <w:rPr>
                <w:rFonts w:ascii="Times New Roman" w:hAnsi="Times New Roman"/>
                <w:sz w:val="20"/>
              </w:rPr>
              <w:t>solide Basis für Bedarf/Quote</w:t>
            </w:r>
          </w:p>
        </w:tc>
      </w:tr>
      <w:tr>
        <w:tc>
          <w:tcPr>
            <w:tcW w:type="dxa" w:w="2268"/>
          </w:tcPr>
          <w:p>
            <w:r>
              <w:rPr>
                <w:rFonts w:ascii="Times New Roman" w:hAnsi="Times New Roman"/>
                <w:sz w:val="20"/>
              </w:rPr>
              <w:t>Einkommen Joris</w:t>
            </w:r>
          </w:p>
        </w:tc>
        <w:tc>
          <w:tcPr>
            <w:tcW w:type="dxa" w:w="2268"/>
          </w:tcPr>
          <w:p>
            <w:r>
              <w:rPr>
                <w:rFonts w:ascii="Times New Roman" w:hAnsi="Times New Roman"/>
                <w:sz w:val="20"/>
              </w:rPr>
              <w:t>BWA Q1 2026, Screenshot Gehalt März</w:t>
            </w:r>
          </w:p>
        </w:tc>
        <w:tc>
          <w:tcPr>
            <w:tcW w:type="dxa" w:w="2268"/>
          </w:tcPr>
          <w:p>
            <w:r>
              <w:rPr>
                <w:rFonts w:ascii="Times New Roman" w:hAnsi="Times New Roman"/>
                <w:sz w:val="20"/>
              </w:rPr>
              <w:t>Steuerbescheide, Jahresabschlüsse, Anstellungsvertrag</w:t>
            </w:r>
          </w:p>
        </w:tc>
        <w:tc>
          <w:tcPr>
            <w:tcW w:type="dxa" w:w="2268"/>
          </w:tcPr>
          <w:p>
            <w:r>
              <w:rPr>
                <w:rFonts w:ascii="Times New Roman" w:hAnsi="Times New Roman"/>
                <w:sz w:val="20"/>
              </w:rPr>
              <w:t>Auskunftsstufe notwendig</w:t>
            </w:r>
          </w:p>
        </w:tc>
      </w:tr>
      <w:tr>
        <w:tc>
          <w:tcPr>
            <w:tcW w:type="dxa" w:w="2268"/>
          </w:tcPr>
          <w:p>
            <w:r>
              <w:rPr>
                <w:rFonts w:ascii="Times New Roman" w:hAnsi="Times New Roman"/>
                <w:sz w:val="20"/>
              </w:rPr>
              <w:t>Firmenwagen</w:t>
            </w:r>
          </w:p>
        </w:tc>
        <w:tc>
          <w:tcPr>
            <w:tcW w:type="dxa" w:w="2268"/>
          </w:tcPr>
          <w:p>
            <w:r>
              <w:rPr>
                <w:rFonts w:ascii="Times New Roman" w:hAnsi="Times New Roman"/>
                <w:sz w:val="20"/>
              </w:rPr>
              <w:t>Fotos, BWA-Kfz-Kosten</w:t>
            </w:r>
          </w:p>
        </w:tc>
        <w:tc>
          <w:tcPr>
            <w:tcW w:type="dxa" w:w="2268"/>
          </w:tcPr>
          <w:p>
            <w:r>
              <w:rPr>
                <w:rFonts w:ascii="Times New Roman" w:hAnsi="Times New Roman"/>
                <w:sz w:val="20"/>
              </w:rPr>
              <w:t>Nutzungsvertrag, geldwerter Vorteil</w:t>
            </w:r>
          </w:p>
        </w:tc>
        <w:tc>
          <w:tcPr>
            <w:tcW w:type="dxa" w:w="2268"/>
          </w:tcPr>
          <w:p>
            <w:r>
              <w:rPr>
                <w:rFonts w:ascii="Times New Roman" w:hAnsi="Times New Roman"/>
                <w:sz w:val="20"/>
              </w:rPr>
              <w:t>mögliches Einkommen</w:t>
            </w:r>
          </w:p>
        </w:tc>
      </w:tr>
      <w:tr>
        <w:tc>
          <w:tcPr>
            <w:tcW w:type="dxa" w:w="2268"/>
          </w:tcPr>
          <w:p>
            <w:r>
              <w:rPr>
                <w:rFonts w:ascii="Times New Roman" w:hAnsi="Times New Roman"/>
                <w:sz w:val="20"/>
              </w:rPr>
              <w:t>Ferienwohnung</w:t>
            </w:r>
          </w:p>
        </w:tc>
        <w:tc>
          <w:tcPr>
            <w:tcW w:type="dxa" w:w="2268"/>
          </w:tcPr>
          <w:p>
            <w:r>
              <w:rPr>
                <w:rFonts w:ascii="Times New Roman" w:hAnsi="Times New Roman"/>
                <w:sz w:val="20"/>
              </w:rPr>
              <w:t>Plattformhinweis, Chat</w:t>
            </w:r>
          </w:p>
        </w:tc>
        <w:tc>
          <w:tcPr>
            <w:tcW w:type="dxa" w:w="2268"/>
          </w:tcPr>
          <w:p>
            <w:r>
              <w:rPr>
                <w:rFonts w:ascii="Times New Roman" w:hAnsi="Times New Roman"/>
                <w:sz w:val="20"/>
              </w:rPr>
              <w:t>Eigentum, Abrechnung, Konto</w:t>
            </w:r>
          </w:p>
        </w:tc>
        <w:tc>
          <w:tcPr>
            <w:tcW w:type="dxa" w:w="2268"/>
          </w:tcPr>
          <w:p>
            <w:r>
              <w:rPr>
                <w:rFonts w:ascii="Times New Roman" w:hAnsi="Times New Roman"/>
                <w:sz w:val="20"/>
              </w:rPr>
              <w:t>mögliches Vermietungseinkommen</w:t>
            </w:r>
          </w:p>
        </w:tc>
      </w:tr>
      <w:tr>
        <w:tc>
          <w:tcPr>
            <w:tcW w:type="dxa" w:w="2268"/>
          </w:tcPr>
          <w:p>
            <w:r>
              <w:rPr>
                <w:rFonts w:ascii="Times New Roman" w:hAnsi="Times New Roman"/>
                <w:sz w:val="20"/>
              </w:rPr>
              <w:t>Zahlungen</w:t>
            </w:r>
          </w:p>
        </w:tc>
        <w:tc>
          <w:tcPr>
            <w:tcW w:type="dxa" w:w="2268"/>
          </w:tcPr>
          <w:p>
            <w:r>
              <w:rPr>
                <w:rFonts w:ascii="Times New Roman" w:hAnsi="Times New Roman"/>
                <w:sz w:val="20"/>
              </w:rPr>
              <w:t>Kontoauszug Jan-Jun 2026</w:t>
            </w:r>
          </w:p>
        </w:tc>
        <w:tc>
          <w:tcPr>
            <w:tcW w:type="dxa" w:w="2268"/>
          </w:tcPr>
          <w:p>
            <w:r>
              <w:rPr>
                <w:rFonts w:ascii="Times New Roman" w:hAnsi="Times New Roman"/>
                <w:sz w:val="20"/>
              </w:rPr>
              <w:t>vollständiges Konto Lene</w:t>
            </w:r>
          </w:p>
        </w:tc>
        <w:tc>
          <w:tcPr>
            <w:tcW w:type="dxa" w:w="2268"/>
          </w:tcPr>
          <w:p>
            <w:r>
              <w:rPr>
                <w:rFonts w:ascii="Times New Roman" w:hAnsi="Times New Roman"/>
                <w:sz w:val="20"/>
              </w:rPr>
              <w:t>Rückstand und Verzug</w:t>
            </w:r>
          </w:p>
        </w:tc>
      </w:tr>
      <w:tr>
        <w:tc>
          <w:tcPr>
            <w:tcW w:type="dxa" w:w="2268"/>
          </w:tcPr>
          <w:p>
            <w:r>
              <w:rPr>
                <w:rFonts w:ascii="Times New Roman" w:hAnsi="Times New Roman"/>
                <w:sz w:val="20"/>
              </w:rPr>
              <w:t>Kinderkosten</w:t>
            </w:r>
          </w:p>
        </w:tc>
        <w:tc>
          <w:tcPr>
            <w:tcW w:type="dxa" w:w="2268"/>
          </w:tcPr>
          <w:p>
            <w:r>
              <w:rPr>
                <w:rFonts w:ascii="Times New Roman" w:hAnsi="Times New Roman"/>
                <w:sz w:val="20"/>
              </w:rPr>
              <w:t>Hortvertrag, Nachhilfevertrag, Klassenfahrt</w:t>
            </w:r>
          </w:p>
        </w:tc>
        <w:tc>
          <w:tcPr>
            <w:tcW w:type="dxa" w:w="2268"/>
          </w:tcPr>
          <w:p>
            <w:r>
              <w:rPr>
                <w:rFonts w:ascii="Times New Roman" w:hAnsi="Times New Roman"/>
                <w:sz w:val="20"/>
              </w:rPr>
              <w:t>Zahlungsbelege Mai/Juni</w:t>
            </w:r>
          </w:p>
        </w:tc>
        <w:tc>
          <w:tcPr>
            <w:tcW w:type="dxa" w:w="2268"/>
          </w:tcPr>
          <w:p>
            <w:r>
              <w:rPr>
                <w:rFonts w:ascii="Times New Roman" w:hAnsi="Times New Roman"/>
                <w:sz w:val="20"/>
              </w:rPr>
              <w:t>Mehrbedarf/Sonderbedarf</w:t>
            </w:r>
          </w:p>
        </w:tc>
      </w:tr>
    </w:tbl>
    <w:p>
      <w:pPr>
        <w:pStyle w:val="Heading2"/>
      </w:pPr>
      <w:r>
        <w:t>Priorität der Nachforderungen</w:t>
      </w:r>
    </w:p>
    <w:p>
      <w:r>
        <w:t>Vorrang haben die Steuerunterlagen und Jahresabschlüsse 2023 bis 2025, das Lohnkonto des Geschäftsführers und die Kontenblätter der Gesellschafterdarlehen. Diese Unterlagen können die nachhaltigen Einkünfte und private Zuflüsse belegen. Die BWA Q1 2026 ist nur ein vorläufiger Zeitraum und wird nicht isoliert hochgerechnet.</w:t>
      </w:r>
    </w:p>
    <w:p>
      <w:r>
        <w:t>Für Dienstwagen und Ferienwohnung werden Eigentum, Nutzungsrecht und tatsächlicher Zahlungsfluss verlangt. Bildschirmaufnahmen und Erinnerungen dienen als Anknüpfung, nicht als Ersatz für Abrechnung und Konto. Jede Lücke trägt in der Matrix eine Quelle, ein Anforderungsdatum und die vorgesehene Folgemaßnahme.</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11_belegmatrix_luecken_und_beweiswert.docx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Belegmatrix Harms · Stand 8. Juni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