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Aufforderung zur Auskunft und Belegvorlage</w:t>
      </w:r>
    </w:p>
    <w:p>
      <w:pPr>
        <w:pStyle w:val="Heading2"/>
      </w:pPr>
      <w:r>
        <w:t>Sachverhalt</w:t>
      </w:r>
    </w:p>
    <w:p>
      <w:r>
        <w:t>Die Beteiligten leben seit dem 18.01.2026 getrennt. Die gemeinsamen Kinder Tilda und Bent leben im Haushalt von Frau Harms. Herr Harms hat seine laufenden Zahlungen seit April 2026 auf 900,00 EUR reduziert.</w:t>
      </w:r>
    </w:p>
    <w:p>
      <w:pPr>
        <w:pStyle w:val="Heading2"/>
      </w:pPr>
      <w:r>
        <w:t>Anforderung</w:t>
      </w:r>
    </w:p>
    <w:p>
      <w:r>
        <w:t>Herr Harms wird aufgefordert, bis zum 28.06.2026 vollständige Auskunft über seine Einkünfte aus Geschäftsführertätigkeit, Gewinnausschüttungen, Privatentnahmen, Firmenwagennutzung und Vermietung zu erteilen und die bezeichneten Belege vorzulegen.</w:t>
      </w:r>
    </w:p>
    <w:p>
      <w:pPr>
        <w:pStyle w:val="Heading2"/>
      </w:pPr>
      <w:r>
        <w:t>Folgen</w:t>
      </w:r>
    </w:p>
    <w:p>
      <w:r>
        <w:t>Nach fruchtlosem Fristablauf wird gerichtliche Auskunft im Wege des Stufenantrags sowie vorläufiger Unterhalt geltend gemacht.</w:t>
      </w:r>
    </w:p>
    <w:p>
      <w:pPr>
        <w:pStyle w:val="Heading2"/>
      </w:pPr>
      <w:r>
        <w:t>Konkretisierung der Beleganforderung</w:t>
      </w:r>
    </w:p>
    <w:p>
      <w:r>
        <w:t>Die Unterlagen sollen für jedes Kalenderjahr getrennt und vollständig vorgelegt werden. Bei der GmbH gehören dazu Jahresabschluss, Steuererklärungen, Steuerbescheide, betriebswirtschaftliche Auswertungen, Summen- und Saldenlisten sowie Kontenblätter zu Geschäftsführergehalt, Gesellschafterdarlehen, Fahrzeugen, Reisekosten und sonstigen Aufwendungen. Für 2026 sind die Unterlagen bis zum letzten abgeschlossenen Monat erforderlich.</w:t>
      </w:r>
    </w:p>
    <w:p>
      <w:r>
        <w:t>Zur Ferienwohnung sind Eigentum oder Nutzungsrecht, Plattformabrechnungen, Belegungskalender, Zahlungszuflüsse und laufende Kosten zu belegen. Personenbezogene Daten von Gästen können geschwärzt werden, sofern Buchungsdatum, Dauer und Betrag erkennbar bleiben. Die Frist läuft am 28. Juni 2026 ab; Teilunterlagen sind mit einer genauen Nachlieferungsliste zu versehen.</w:t>
      </w:r>
    </w:p>
    <w:sectPr w:rsidR="00FC693F" w:rsidRPr="0006063C" w:rsidSect="00034616">
      <w:headerReference w:type="default" r:id="rId9"/>
      <w:footerReference w:type="default" r:id="rId1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auskunftsaufforderung_joris_harms.docx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Harms ./. Harms · Unterhaltsauskunft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