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 Erbschaft Theodor Winterstein 2019 — Privilegiertes Anfangsvermögen</w:t>
      </w:r>
    </w:p>
    <w:p>
      <w:pPr>
        <w:pStyle w:val="Heading2"/>
      </w:pPr>
      <w:r>
        <w:rPr>
          <w:rFonts w:ascii="Times New Roman" w:hAnsi="Times New Roman"/>
        </w:rPr>
        <w:t>Erbfall</w:t>
      </w:r>
    </w:p>
    <w:p>
      <w:pPr>
        <w:pStyle w:val="ListBullet"/>
      </w:pPr>
      <w:r>
        <w:t xml:space="preserve">Erblasser: </w:t>
      </w:r>
      <w:r>
        <w:rPr>
          <w:b/>
        </w:rPr>
        <w:t>Theodor Winterstein</w:t>
      </w:r>
      <w:r>
        <w:t>, geboren 14.11.1934 in Bamberg, verstorben am 14.03.2019 in Bamberg (Sterbeurkunde Standesamt Bamberg Nr. 387/2019)</w:t>
      </w:r>
    </w:p>
    <w:p>
      <w:pPr>
        <w:pStyle w:val="ListBullet"/>
      </w:pPr>
      <w:r>
        <w:t>Familienverhältnis: Onkel der Antragsgegnerin (Bruder ihres Vaters Heribert Winterstein)</w:t>
      </w:r>
    </w:p>
    <w:p>
      <w:pPr>
        <w:pStyle w:val="ListBullet"/>
      </w:pPr>
      <w:r>
        <w:t>Tätigkeit: Bauunternehmer (Bauunternehmung Winterstein KG, Bamberg, bis Betriebseinstellung 2007); danach Vermieter und Verwalter eigener Immobilien</w:t>
      </w:r>
    </w:p>
    <w:p>
      <w:pPr>
        <w:pStyle w:val="ListBullet"/>
      </w:pPr>
      <w:r>
        <w:t>Familienstand: ledig, kinderlos, Lebensgefährtin Margot Speth (verstorben 2013)</w:t>
      </w:r>
    </w:p>
    <w:p>
      <w:pPr>
        <w:pStyle w:val="ListBullet"/>
      </w:pPr>
      <w:r>
        <w:t>Testament: privatschriftliches Testament vom 14.07.2014, AG Bamberg Az. VI 1138/19; Eröffnungsprotokoll vom 02.04.2019; Erbschein vom 02.09.2019</w:t>
      </w:r>
    </w:p>
    <w:p>
      <w:pPr>
        <w:pStyle w:val="Heading2"/>
      </w:pPr>
      <w:r>
        <w:rPr>
          <w:rFonts w:ascii="Times New Roman" w:hAnsi="Times New Roman"/>
        </w:rPr>
        <w:t>Testamentswortlaut (Auszug)</w:t>
      </w:r>
    </w:p>
    <w:p>
      <w:pPr>
        <w:ind w:left="567"/>
      </w:pPr>
      <w:r>
        <w:rPr>
          <w:i/>
        </w:rPr>
        <w:t>„Ich, Theodor Winterstein, geboren 14.11.1934, wohnhaft Promenadestraße 14, 96047 Bamberg, setze hiermit meine Nichte Leonie Schäfer, geborene Winterstein, geboren am 11.06.1961 in Nürnberg, zu meiner alleinigen Erbin ein. Sie soll mein gesamtes Vermögen als Eigentum erhalten. Es ist mein ausdrücklicher Wille, dass dieses Vermögen Leonie und nicht ihrem Ehemann zugutekommt. Bamberg, den 14. Juli 2014. Theodor Winterstein."</w:t>
      </w:r>
    </w:p>
    <w:p>
      <w:pPr>
        <w:pStyle w:val="Heading2"/>
      </w:pPr>
      <w:r>
        <w:rPr>
          <w:rFonts w:ascii="Times New Roman" w:hAnsi="Times New Roman"/>
        </w:rPr>
        <w:t>Nachlass laut Verzeichnis (Paragraf 2314 BGB) und Erbschaftssteuerbescheid</w:t>
      </w:r>
    </w:p>
    <w:p>
      <w:pPr>
        <w:pStyle w:val="Heading3"/>
      </w:pPr>
      <w:r>
        <w:rPr>
          <w:rFonts w:ascii="Times New Roman" w:hAnsi="Times New Roman"/>
        </w:rPr>
        <w:t>Immobilien</w:t>
      </w:r>
    </w:p>
    <w:p>
      <w:pPr>
        <w:pStyle w:val="ListNumber"/>
      </w:pPr>
      <w:r>
        <w:rPr>
          <w:b/>
        </w:rPr>
        <w:t>Mehrfamilienhaus Bamberg, Promenadestraße 14</w:t>
      </w:r>
    </w:p>
    <w:p>
      <w:pPr>
        <w:pStyle w:val="ListBullet"/>
      </w:pPr>
      <w:r>
        <w:t>12 Wohneinheiten, gesamt 850 qm Wohnfläche</w:t>
      </w:r>
    </w:p>
    <w:p>
      <w:pPr>
        <w:pStyle w:val="ListBullet"/>
      </w:pPr>
      <w:r>
        <w:t>Baujahr 1908, durchgehend vermietet</w:t>
      </w:r>
    </w:p>
    <w:p>
      <w:pPr>
        <w:pStyle w:val="ListBullet"/>
      </w:pPr>
      <w:r>
        <w:t>Grundbuch Bamberg, Blatt 4407, Flurstück 1118</w:t>
      </w:r>
    </w:p>
    <w:p>
      <w:pPr>
        <w:pStyle w:val="ListBullet"/>
      </w:pPr>
      <w:r>
        <w:t>Verkehrswert FA-Bescheid 14.03.2019: 2.580.000 €</w:t>
      </w:r>
    </w:p>
    <w:p>
      <w:pPr>
        <w:pStyle w:val="ListBullet"/>
      </w:pPr>
      <w:r>
        <w:t>Mieteinnahmen 2019: 138.250 € (brutto), 2020: 141.800 €</w:t>
      </w:r>
    </w:p>
    <w:p>
      <w:pPr>
        <w:pStyle w:val="ListNumber"/>
      </w:pPr>
      <w:r>
        <w:rPr>
          <w:b/>
        </w:rPr>
        <w:t>Gewerbeimmobilie Forchheim, Bayreuther Straße 88</w:t>
      </w:r>
    </w:p>
    <w:p>
      <w:pPr>
        <w:pStyle w:val="ListBullet"/>
      </w:pPr>
      <w:r>
        <w:t>Lagerhalle 1.450 qm + Bürotrakt 220 qm</w:t>
      </w:r>
    </w:p>
    <w:p>
      <w:pPr>
        <w:pStyle w:val="ListBullet"/>
      </w:pPr>
      <w:r>
        <w:t>Vermietet an Speditions- und Logistikgruppe Ostbayern e. K. (Vertrag bis 30.09.2028)</w:t>
      </w:r>
    </w:p>
    <w:p>
      <w:pPr>
        <w:pStyle w:val="ListBullet"/>
      </w:pPr>
      <w:r>
        <w:t>Grundbuch Forchheim, Blatt 1781, Flurstück 487/2</w:t>
      </w:r>
    </w:p>
    <w:p>
      <w:pPr>
        <w:pStyle w:val="ListBullet"/>
      </w:pPr>
      <w:r>
        <w:t>Verkehrswert FA-Bescheid 14.03.2019: 1.420.000 €</w:t>
      </w:r>
    </w:p>
    <w:p>
      <w:pPr>
        <w:pStyle w:val="ListBullet"/>
      </w:pPr>
      <w:r>
        <w:t>Jahres-Nettokaltmiete 2019: 96.000 €</w:t>
      </w:r>
    </w:p>
    <w:p>
      <w:pPr>
        <w:pStyle w:val="ListNumber"/>
      </w:pPr>
      <w:r>
        <w:rPr>
          <w:b/>
        </w:rPr>
        <w:t>Eigentumswohnung München-Schwabing, Hohenzollernstraße 47</w:t>
      </w:r>
    </w:p>
    <w:p>
      <w:pPr>
        <w:pStyle w:val="ListBullet"/>
      </w:pPr>
      <w:r>
        <w:t>96 qm Wohnfläche, 4. OG, 3 Zimmer</w:t>
      </w:r>
    </w:p>
    <w:p>
      <w:pPr>
        <w:pStyle w:val="ListBullet"/>
      </w:pPr>
      <w:r>
        <w:t>Vermietet bis Eigenbedarf-Vorbehalt 2026</w:t>
      </w:r>
    </w:p>
    <w:p>
      <w:pPr>
        <w:pStyle w:val="ListBullet"/>
      </w:pPr>
      <w:r>
        <w:t>Grundbuch München-Schwabing, Blatt 91144, Flurstück 1422</w:t>
      </w:r>
    </w:p>
    <w:p>
      <w:pPr>
        <w:pStyle w:val="ListBullet"/>
      </w:pPr>
      <w:r>
        <w:t>Verkehrswert 14.03.2019: 870.000 €</w:t>
      </w:r>
    </w:p>
    <w:p>
      <w:pPr>
        <w:pStyle w:val="ListBullet"/>
      </w:pPr>
      <w:r>
        <w:t>Jahres-Nettokaltmiete 2019: 30.600 €</w:t>
      </w:r>
    </w:p>
    <w:p>
      <w:pPr>
        <w:pStyle w:val="Heading3"/>
      </w:pPr>
      <w:r>
        <w:rPr>
          <w:rFonts w:ascii="Times New Roman" w:hAnsi="Times New Roman"/>
        </w:rPr>
        <w:t>Kapitalvermögen</w:t>
      </w:r>
    </w:p>
    <w:p>
      <w:pPr>
        <w:pStyle w:val="ListBullet"/>
      </w:pPr>
      <w:r>
        <w:t>Wertpapierdepot DZ Privatbank Bamberg, Depot-Nr. 4119 002 71, Bestand zum 14.03.2019: 1.105.000 € (Aktien, ETF, Anleihen, Verwaltungsmandat)</w:t>
      </w:r>
    </w:p>
    <w:p>
      <w:pPr>
        <w:pStyle w:val="ListBullet"/>
      </w:pPr>
      <w:r>
        <w:t>Festgeldkonten Sparkasse Bamberg: 410.000 €</w:t>
      </w:r>
    </w:p>
    <w:p>
      <w:pPr>
        <w:pStyle w:val="ListBullet"/>
      </w:pPr>
      <w:r>
        <w:t>Girokonto Sparkasse Bamberg: 18.241,16 €</w:t>
      </w:r>
    </w:p>
    <w:p>
      <w:pPr>
        <w:pStyle w:val="Heading3"/>
      </w:pPr>
      <w:r>
        <w:rPr>
          <w:rFonts w:ascii="Times New Roman" w:hAnsi="Times New Roman"/>
        </w:rPr>
        <w:t>Hausrat des Erblassers</w:t>
      </w:r>
    </w:p>
    <w:p>
      <w:pPr>
        <w:pStyle w:val="ListBullet"/>
      </w:pPr>
      <w:r>
        <w:t>Möbel, Sammlung (Schreibmaschinen, Briefmarken): pauschal 35.000 €</w:t>
      </w:r>
    </w:p>
    <w:p>
      <w:pPr>
        <w:pStyle w:val="ListBullet"/>
      </w:pPr>
      <w:r>
        <w:t>Oldtimer Porsche 911 (Baujahr 1974, Restaurationsbedürftig): geschätzt 78.000 €</w:t>
      </w:r>
    </w:p>
    <w:p>
      <w:pPr>
        <w:pStyle w:val="Heading3"/>
      </w:pPr>
      <w:r>
        <w:rPr>
          <w:rFonts w:ascii="Times New Roman" w:hAnsi="Times New Roman"/>
        </w:rPr>
        <w:t>Verbindlichkeiten</w:t>
      </w:r>
    </w:p>
    <w:p>
      <w:pPr>
        <w:pStyle w:val="ListBullet"/>
      </w:pPr>
      <w:r>
        <w:t>Keine. Die Beerdigungskosten 14.500 € sind nach Paragraf 1968 BGB durch die Erbin getragen.</w:t>
      </w:r>
    </w:p>
    <w:p>
      <w:pPr>
        <w:pStyle w:val="Heading3"/>
      </w:pPr>
      <w:r>
        <w:rPr>
          <w:rFonts w:ascii="Times New Roman" w:hAnsi="Times New Roman"/>
        </w:rPr>
        <w:t>Gesamtwert (Steuerbescheid)</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w:t>
            </w:r>
          </w:p>
        </w:tc>
      </w:tr>
      <w:tr>
        <w:tc>
          <w:tcPr>
            <w:tcW w:type="dxa" w:w="4536"/>
          </w:tcPr>
          <w:p>
            <w:r>
              <w:rPr>
                <w:rFonts w:ascii="Times New Roman" w:hAnsi="Times New Roman"/>
                <w:sz w:val="20"/>
              </w:rPr>
              <w:t>Aktiva</w:t>
            </w:r>
          </w:p>
        </w:tc>
        <w:tc>
          <w:tcPr>
            <w:tcW w:type="dxa" w:w="4536"/>
          </w:tcPr>
          <w:p>
            <w:r>
              <w:rPr>
                <w:rFonts w:ascii="Times New Roman" w:hAnsi="Times New Roman"/>
                <w:sz w:val="20"/>
              </w:rPr>
              <w:t>6.515.241,16 €</w:t>
            </w:r>
          </w:p>
        </w:tc>
      </w:tr>
      <w:tr>
        <w:tc>
          <w:tcPr>
            <w:tcW w:type="dxa" w:w="4536"/>
          </w:tcPr>
          <w:p>
            <w:r>
              <w:rPr>
                <w:rFonts w:ascii="Times New Roman" w:hAnsi="Times New Roman"/>
                <w:sz w:val="20"/>
              </w:rPr>
              <w:t>Verbindlichkeiten</w:t>
            </w:r>
          </w:p>
        </w:tc>
        <w:tc>
          <w:tcPr>
            <w:tcW w:type="dxa" w:w="4536"/>
          </w:tcPr>
          <w:p>
            <w:r>
              <w:rPr>
                <w:rFonts w:ascii="Times New Roman" w:hAnsi="Times New Roman"/>
                <w:sz w:val="20"/>
              </w:rPr>
              <w:t>0,00 €</w:t>
            </w:r>
          </w:p>
        </w:tc>
      </w:tr>
      <w:tr>
        <w:tc>
          <w:tcPr>
            <w:tcW w:type="dxa" w:w="4536"/>
          </w:tcPr>
          <w:p>
            <w:r>
              <w:rPr>
                <w:rFonts w:ascii="Times New Roman" w:hAnsi="Times New Roman"/>
                <w:b/>
                <w:sz w:val="20"/>
              </w:rPr>
              <w:t>Reinwert</w:t>
            </w:r>
          </w:p>
        </w:tc>
        <w:tc>
          <w:tcPr>
            <w:tcW w:type="dxa" w:w="4536"/>
          </w:tcPr>
          <w:p>
            <w:r>
              <w:rPr>
                <w:rFonts w:ascii="Times New Roman" w:hAnsi="Times New Roman"/>
                <w:b/>
                <w:sz w:val="20"/>
              </w:rPr>
              <w:t>6.515.241,16 €</w:t>
            </w:r>
          </w:p>
        </w:tc>
      </w:tr>
      <w:tr>
        <w:tc>
          <w:tcPr>
            <w:tcW w:type="dxa" w:w="4536"/>
          </w:tcPr>
          <w:p>
            <w:r>
              <w:rPr>
                <w:rFonts w:ascii="Times New Roman" w:hAnsi="Times New Roman"/>
                <w:sz w:val="20"/>
              </w:rPr>
              <w:t>Persönlicher Freibetrag Paragraf 16 ErbStG (Nichte = Steuerklasse II, 20.000 €)</w:t>
            </w:r>
          </w:p>
        </w:tc>
        <w:tc>
          <w:tcPr>
            <w:tcW w:type="dxa" w:w="4536"/>
          </w:tcPr>
          <w:p>
            <w:r>
              <w:rPr>
                <w:rFonts w:ascii="Times New Roman" w:hAnsi="Times New Roman"/>
                <w:sz w:val="20"/>
              </w:rPr>
              <w:t>– 20.000 €</w:t>
            </w:r>
          </w:p>
        </w:tc>
      </w:tr>
      <w:tr>
        <w:tc>
          <w:tcPr>
            <w:tcW w:type="dxa" w:w="4536"/>
          </w:tcPr>
          <w:p>
            <w:r>
              <w:rPr>
                <w:rFonts w:ascii="Times New Roman" w:hAnsi="Times New Roman"/>
                <w:sz w:val="20"/>
              </w:rPr>
              <w:t>Steuerpflichtiger Erwerb</w:t>
            </w:r>
          </w:p>
        </w:tc>
        <w:tc>
          <w:tcPr>
            <w:tcW w:type="dxa" w:w="4536"/>
          </w:tcPr>
          <w:p>
            <w:r>
              <w:rPr>
                <w:rFonts w:ascii="Times New Roman" w:hAnsi="Times New Roman"/>
                <w:sz w:val="20"/>
              </w:rPr>
              <w:t>6.495.241,16 €</w:t>
            </w:r>
          </w:p>
        </w:tc>
      </w:tr>
      <w:tr>
        <w:tc>
          <w:tcPr>
            <w:tcW w:type="dxa" w:w="4536"/>
          </w:tcPr>
          <w:p>
            <w:r>
              <w:rPr>
                <w:rFonts w:ascii="Times New Roman" w:hAnsi="Times New Roman"/>
                <w:sz w:val="20"/>
              </w:rPr>
              <w:t>Erbschaftsteuer Steuerklasse II, Stufe 30 %</w:t>
            </w:r>
          </w:p>
        </w:tc>
        <w:tc>
          <w:tcPr>
            <w:tcW w:type="dxa" w:w="4536"/>
          </w:tcPr>
          <w:p>
            <w:r>
              <w:rPr>
                <w:rFonts w:ascii="Times New Roman" w:hAnsi="Times New Roman"/>
                <w:sz w:val="20"/>
              </w:rPr>
              <w:t>1.948.572,00 €</w:t>
            </w:r>
          </w:p>
        </w:tc>
      </w:tr>
      <w:tr>
        <w:tc>
          <w:tcPr>
            <w:tcW w:type="dxa" w:w="4536"/>
          </w:tcPr>
          <w:p>
            <w:r>
              <w:rPr>
                <w:rFonts w:ascii="Times New Roman" w:hAnsi="Times New Roman"/>
                <w:b/>
                <w:sz w:val="20"/>
              </w:rPr>
              <w:t>Reinvermögen nach Steuer</w:t>
            </w:r>
          </w:p>
        </w:tc>
        <w:tc>
          <w:tcPr>
            <w:tcW w:type="dxa" w:w="4536"/>
          </w:tcPr>
          <w:p>
            <w:r>
              <w:rPr>
                <w:rFonts w:ascii="Times New Roman" w:hAnsi="Times New Roman"/>
                <w:b/>
                <w:sz w:val="20"/>
              </w:rPr>
              <w:t>4.566.669,16 €</w:t>
            </w:r>
          </w:p>
        </w:tc>
      </w:tr>
    </w:tbl>
    <w:p>
      <w:pPr>
        <w:jc w:val="left"/>
      </w:pPr>
      <w:r>
        <w:t>Anmerkung: Die Erbschaftsteuer ist vollständig aus dem Festgeld- und Depotvermögen entrichtet worden (FA Bamberg, Eingang Zahlung 12.06.2020). Die Mandantin hat dennoch die Substanz weitestgehend erhalten, weil aus dem Immobilien-Cashflow die Steuer rasch refinanziert werden konnte.</w:t>
      </w:r>
    </w:p>
    <w:p>
      <w:pPr>
        <w:pStyle w:val="Heading2"/>
      </w:pPr>
      <w:r>
        <w:rPr>
          <w:rFonts w:ascii="Times New Roman" w:hAnsi="Times New Roman"/>
        </w:rPr>
        <w:t>Behandlung im Versorgungsausgleich und Zugewinn</w:t>
      </w:r>
    </w:p>
    <w:p>
      <w:pPr>
        <w:pStyle w:val="Heading3"/>
      </w:pPr>
      <w:r>
        <w:rPr>
          <w:rFonts w:ascii="Times New Roman" w:hAnsi="Times New Roman"/>
        </w:rPr>
        <w:t>Privilegiertes Anfangsvermögen Paragraf 1374 Abs. 2 BGB</w:t>
      </w:r>
    </w:p>
    <w:p>
      <w:pPr>
        <w:jc w:val="left"/>
      </w:pPr>
      <w:r>
        <w:t xml:space="preserve">Erbschaften und Schenkungen, soweit sie nicht zu den Einkünften zu rechnen sind, gelten als dem Anfangsvermögen hinzuzurechnen. Das gesamte Nachlassvermögen ist daher dem Anfangsvermögen der Antragsgegnerin </w:t>
      </w:r>
      <w:r>
        <w:rPr>
          <w:b/>
        </w:rPr>
        <w:t>nachträglich</w:t>
      </w:r>
      <w:r>
        <w:t xml:space="preserve"> hinzuzurechnen. Folge: das Erbe geht in den Zugewinn der Antragsgegnerin nicht ein.</w:t>
      </w:r>
    </w:p>
    <w:p>
      <w:pPr>
        <w:pStyle w:val="Heading3"/>
      </w:pPr>
      <w:r>
        <w:rPr>
          <w:rFonts w:ascii="Times New Roman" w:hAnsi="Times New Roman"/>
        </w:rPr>
        <w:t>Erträge aus dem Erbe</w:t>
      </w:r>
    </w:p>
    <w:p>
      <w:pPr>
        <w:jc w:val="left"/>
      </w:pPr>
      <w:r>
        <w:t xml:space="preserve">Die laufenden Mieten, Dividenden und Zinsen aus dem Erbe sind </w:t>
      </w:r>
      <w:r>
        <w:rPr>
          <w:b/>
        </w:rPr>
        <w:t>Einkünfte</w:t>
      </w:r>
      <w:r>
        <w:t>, nicht selbst Erbschaft. Sie unterliegen dem allgemeinen Endvermögen Paragraf 1375 BGB. Tatsächlich verbliebene Ertragsüberschüsse seit dem Erbfall sind im Endvermögen der Antragsgegnerin zu aktivieren. Eine entsprechende Schätzung ergibt zum 30.04.2021 ca. 174.000 € (Aktenstück 03).</w:t>
      </w:r>
    </w:p>
    <w:p>
      <w:pPr>
        <w:pStyle w:val="Heading3"/>
      </w:pPr>
      <w:r>
        <w:rPr>
          <w:rFonts w:ascii="Times New Roman" w:hAnsi="Times New Roman"/>
        </w:rPr>
        <w:t>Bedeutung für Paragraf 27 VersAusglG</w:t>
      </w:r>
    </w:p>
    <w:p>
      <w:pPr>
        <w:jc w:val="left"/>
      </w:pPr>
      <w:r>
        <w:t>Die wirtschaftliche Leistungsfähigkeit der ausgleichsberechtigten Ehefrau speist sich zum allergrößten Teil aus diesem Erbe. Das Oberlandesgericht hat hierauf die Annahme gestützt, der Versorgungsausgleich sei aus Gerechtigkeitsgründen auszuschließen. Aus Sicht des BGH-Mandats sind hierzu zwei Kontroversen zu adressieren:</w:t>
      </w:r>
    </w:p>
    <w:p>
      <w:pPr>
        <w:pStyle w:val="ListNumber"/>
      </w:pPr>
      <w:r>
        <w:t>Darf die Bedarfsdeckung durch geerbtes (also nicht aus eigener Arbeit erworbenes) Vermögen den Versorgungsausgleich entwerten?</w:t>
      </w:r>
    </w:p>
    <w:p>
      <w:pPr>
        <w:pStyle w:val="ListNumber"/>
      </w:pPr>
      <w:r>
        <w:t>Schließt die Verteilung von Risiken (Substanzgefahr, Liquidationskosten, Mietzinsausfall, Wertentwicklung) die Pauschalannahme „6,9 Mio. € reichen für jede Altersversorgung" aus?</w:t>
      </w:r>
    </w:p>
    <w:p>
      <w:pPr>
        <w:jc w:val="left"/>
      </w:pPr>
      <w:r>
        <w:t>Diese Fragen sind tatsachen- und rechtsbeschwerdetauglich aufzubereiten (siehe Aktenstücke 11 – 14).</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