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Versorgungsanrechte Ehemann</w:t>
      </w:r>
    </w:p>
    <w:p>
      <w:pPr>
        <w:jc w:val="left"/>
      </w:pPr>
      <w:r>
        <w:t>Stichtag: Ehezeitende 30.04.2021 (Paragraf 3 Abs. 1 VersAusglG)</w:t>
      </w:r>
    </w:p>
    <w:p>
      <w:pPr>
        <w:jc w:val="left"/>
      </w:pPr>
      <w:r>
        <w:t>Berücksichtigte Ehezeit: 01.09.1987 bis 30.04.2021 = 33 Jahre, 8 Monate.</w:t>
      </w:r>
    </w:p>
    <w:p>
      <w:pPr>
        <w:pStyle w:val="Heading2"/>
      </w:pPr>
      <w:r>
        <w:rPr>
          <w:rFonts w:ascii="Times New Roman" w:hAnsi="Times New Roman"/>
        </w:rPr>
        <w:t>6.1 Bayerische Versorgungskammer — Zahnärzteversorgung</w:t>
      </w:r>
    </w:p>
    <w:p>
      <w:pPr>
        <w:pStyle w:val="ListBullet"/>
      </w:pPr>
      <w:r>
        <w:t xml:space="preserve">Versorgungsträger: </w:t>
      </w:r>
      <w:r>
        <w:rPr>
          <w:b/>
        </w:rPr>
        <w:t>Bayerische Versorgungskammer, Bayerische Ärzteversorgung — Abteilung Zahnärzteversorgung</w:t>
      </w:r>
      <w:r>
        <w:t>, Denninger Straße 37, 81925 München</w:t>
      </w:r>
    </w:p>
    <w:p>
      <w:pPr>
        <w:pStyle w:val="ListBullet"/>
      </w:pPr>
      <w:r>
        <w:t>Mitglieds-Nr. Max. Schäfer: 14-072 184 / 1958</w:t>
      </w:r>
    </w:p>
    <w:p>
      <w:pPr>
        <w:pStyle w:val="ListBullet"/>
      </w:pPr>
      <w:r>
        <w:t>Status: Pflichtmitglied seit Approbation 01.04.1982, durchgehend bis Eintritt in den Ruhestand</w:t>
      </w:r>
    </w:p>
    <w:p>
      <w:pPr>
        <w:pStyle w:val="ListBullet"/>
      </w:pPr>
      <w:r>
        <w:t>Auskunft V/3 vom 17.08.2021 (Bayerische Versorgungskammer):</w:t>
      </w:r>
    </w:p>
    <w:p>
      <w:pPr>
        <w:pStyle w:val="ListBullet"/>
      </w:pPr>
      <w:r>
        <w:t xml:space="preserve">In der Ehezeit erworbene monatliche Anwartschaft (in der Leistungsform: laufende Altersrente, Dynamik nach Paragraf 32 Satzung BVZ): </w:t>
      </w:r>
      <w:r>
        <w:rPr>
          <w:b/>
        </w:rPr>
        <w:t>4.127,42 €</w:t>
      </w:r>
    </w:p>
    <w:p>
      <w:pPr>
        <w:pStyle w:val="ListBullet"/>
      </w:pPr>
      <w:r>
        <w:t xml:space="preserve">korrespondierender Kapitalwert nach Barwertverfahren der BVZ-Versicherungsmathematik: </w:t>
      </w:r>
      <w:r>
        <w:rPr>
          <w:b/>
        </w:rPr>
        <w:t>412.853,20 €</w:t>
      </w:r>
    </w:p>
    <w:p>
      <w:pPr>
        <w:pStyle w:val="ListBullet"/>
      </w:pPr>
      <w:r>
        <w:t xml:space="preserve">Vorgeschlagener Ausgleichswert (interne Teilung, Paragraf 10 VersAusglG): </w:t>
      </w:r>
      <w:r>
        <w:rPr>
          <w:b/>
        </w:rPr>
        <w:t>monatliche Anwartschaft 2.063,71 €</w:t>
      </w:r>
      <w:r>
        <w:t xml:space="preserve"> bzw. Kapitalwert </w:t>
      </w:r>
      <w:r>
        <w:rPr>
          <w:b/>
        </w:rPr>
        <w:t>206.426,60 €</w:t>
      </w:r>
    </w:p>
    <w:p>
      <w:pPr>
        <w:pStyle w:val="ListBullet"/>
      </w:pPr>
      <w:r>
        <w:t>Teilungskosten der BVZ: 500,00 €, bereits in der vorgeschlagenen Quote berücksichtigt</w:t>
      </w:r>
    </w:p>
    <w:p>
      <w:pPr>
        <w:pStyle w:val="ListBullet"/>
      </w:pPr>
      <w:r>
        <w:t xml:space="preserve">Form des Ausgleichs nach Vorschlag des Versorgungsträgers: </w:t>
      </w:r>
      <w:r>
        <w:rPr>
          <w:b/>
        </w:rPr>
        <w:t>interne Teilung</w:t>
      </w:r>
      <w:r>
        <w:t xml:space="preserve"> (Paragraf 10 VersAusglG), neues Versorgungskonto in der BVZ auf den Namen der Ehefrau</w:t>
      </w:r>
    </w:p>
    <w:p>
      <w:pPr>
        <w:pStyle w:val="Heading2"/>
      </w:pPr>
      <w:r>
        <w:rPr>
          <w:rFonts w:ascii="Times New Roman" w:hAnsi="Times New Roman"/>
        </w:rPr>
        <w:t>6.2 Allianz — Riester-Rente</w:t>
      </w:r>
    </w:p>
    <w:p>
      <w:pPr>
        <w:pStyle w:val="ListBullet"/>
      </w:pPr>
      <w:r>
        <w:t>Versorgungsträger: Allianz Lebensversicherungs-AG, Reinsburgstraße 19, 70178 Stuttgart</w:t>
      </w:r>
    </w:p>
    <w:p>
      <w:pPr>
        <w:pStyle w:val="ListBullet"/>
      </w:pPr>
      <w:r>
        <w:t>Vertrags-Nr.: RV-1141-7782-A (Allianz „RiesterRente Klassik")</w:t>
      </w:r>
    </w:p>
    <w:p>
      <w:pPr>
        <w:pStyle w:val="ListBullet"/>
      </w:pPr>
      <w:r>
        <w:t>Vertragsbeginn 01.04.2002 (vor Ehezeitende)</w:t>
      </w:r>
    </w:p>
    <w:p>
      <w:pPr>
        <w:pStyle w:val="ListBullet"/>
      </w:pPr>
      <w:r>
        <w:t>Auskunft 19.07.2021:</w:t>
      </w:r>
    </w:p>
    <w:p>
      <w:pPr>
        <w:pStyle w:val="ListBullet"/>
      </w:pPr>
      <w:r>
        <w:t xml:space="preserve">Ehezeitanteil Deckungskapital zum 30.04.2021: </w:t>
      </w:r>
      <w:r>
        <w:rPr>
          <w:b/>
        </w:rPr>
        <w:t>18.500,00 €</w:t>
      </w:r>
    </w:p>
    <w:p>
      <w:pPr>
        <w:pStyle w:val="ListBullet"/>
      </w:pPr>
      <w:r>
        <w:t xml:space="preserve">Empfehlung: </w:t>
      </w:r>
      <w:r>
        <w:rPr>
          <w:b/>
        </w:rPr>
        <w:t>externe Teilung nach Paragraf 17 VersAusglG</w:t>
      </w:r>
      <w:r>
        <w:t xml:space="preserve"> (Ausgleichsbetrag 9.250,00 €), Zielversorgung im Wege der Wahl der Ehefrau (Vorschlag: VBLklassik oder DRV Bund)</w:t>
      </w:r>
    </w:p>
    <w:p>
      <w:pPr>
        <w:pStyle w:val="ListBullet"/>
      </w:pPr>
      <w:r>
        <w:t>Steuerlich gefördertes Anrecht; bei externer Teilung sind die Voraussetzungen Paragraf 1 Abs. 1 Nr. 4 AltZertG zu beachten</w:t>
      </w:r>
    </w:p>
    <w:p>
      <w:pPr>
        <w:pStyle w:val="Heading2"/>
      </w:pPr>
      <w:r>
        <w:rPr>
          <w:rFonts w:ascii="Times New Roman" w:hAnsi="Times New Roman"/>
        </w:rPr>
        <w:t>6.3 Direktversicherung — betriebliche Altersvorsorge</w:t>
      </w:r>
    </w:p>
    <w:p>
      <w:pPr>
        <w:pStyle w:val="ListBullet"/>
      </w:pPr>
      <w:r>
        <w:t>Versorgungsträger: Württembergische Lebensversicherung AG, Gutenbergstraße 30, 70176 Stuttgart</w:t>
      </w:r>
    </w:p>
    <w:p>
      <w:pPr>
        <w:pStyle w:val="ListBullet"/>
      </w:pPr>
      <w:r>
        <w:t>Vertrags-Nr.: DV-WL-771429-6 (Direktversicherung, Versicherungsnehmerin: Praxis Dr. Schäfer)</w:t>
      </w:r>
    </w:p>
    <w:p>
      <w:pPr>
        <w:pStyle w:val="ListBullet"/>
      </w:pPr>
      <w:r>
        <w:t>Vertragsbeginn 01.01.1998 (innerhalb der Ehezeit)</w:t>
      </w:r>
    </w:p>
    <w:p>
      <w:pPr>
        <w:pStyle w:val="ListBullet"/>
      </w:pPr>
      <w:r>
        <w:t>Auskunft 02.08.2021:</w:t>
      </w:r>
    </w:p>
    <w:p>
      <w:pPr>
        <w:pStyle w:val="ListBullet"/>
      </w:pPr>
      <w:r>
        <w:t xml:space="preserve">Ehezeitanteil Deckungskapital zum 30.04.2021: </w:t>
      </w:r>
      <w:r>
        <w:rPr>
          <w:b/>
        </w:rPr>
        <w:t>45.000,00 €</w:t>
      </w:r>
    </w:p>
    <w:p>
      <w:pPr>
        <w:pStyle w:val="ListBullet"/>
      </w:pPr>
      <w:r>
        <w:t xml:space="preserve">Form des Ausgleichs: externe Teilung nach Paragraf 17 VersAusglG, Ausgleichsbetrag </w:t>
      </w:r>
      <w:r>
        <w:rPr>
          <w:b/>
        </w:rPr>
        <w:t>22.500,00 €</w:t>
      </w:r>
    </w:p>
    <w:p>
      <w:pPr>
        <w:pStyle w:val="ListBullet"/>
      </w:pPr>
      <w:r>
        <w:t>Die Direktversicherung wurde aus Praxismitteln finanziert; die Mandantin ist nicht versorgungs-, sondern nur ausgleichsberechtigt</w:t>
      </w:r>
    </w:p>
    <w:p>
      <w:pPr>
        <w:pStyle w:val="Heading2"/>
      </w:pPr>
      <w:r>
        <w:rPr>
          <w:rFonts w:ascii="Times New Roman" w:hAnsi="Times New Roman"/>
        </w:rPr>
        <w:t>6.4 Zwischensumme Ehemann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Anrecht</w:t>
            </w:r>
          </w:p>
        </w:tc>
        <w:tc>
          <w:tcPr>
            <w:tcW w:type="dxa" w:w="2268"/>
          </w:tcPr>
          <w:p>
            <w:r>
              <w:rPr>
                <w:rFonts w:ascii="Times New Roman" w:hAnsi="Times New Roman"/>
                <w:b/>
                <w:sz w:val="20"/>
              </w:rPr>
              <w:t>Form</w:t>
            </w:r>
          </w:p>
        </w:tc>
        <w:tc>
          <w:tcPr>
            <w:tcW w:type="dxa" w:w="2268"/>
          </w:tcPr>
          <w:p>
            <w:r>
              <w:rPr>
                <w:rFonts w:ascii="Times New Roman" w:hAnsi="Times New Roman"/>
                <w:b/>
                <w:sz w:val="20"/>
              </w:rPr>
              <w:t>Ehezeitanteil</w:t>
            </w:r>
          </w:p>
        </w:tc>
        <w:tc>
          <w:tcPr>
            <w:tcW w:type="dxa" w:w="2268"/>
          </w:tcPr>
          <w:p>
            <w:r>
              <w:rPr>
                <w:rFonts w:ascii="Times New Roman" w:hAnsi="Times New Roman"/>
                <w:b/>
                <w:sz w:val="20"/>
              </w:rPr>
              <w:t>Vorgeschlagener Ausgleichswert</w:t>
            </w:r>
          </w:p>
        </w:tc>
      </w:tr>
      <w:tr>
        <w:tc>
          <w:tcPr>
            <w:tcW w:type="dxa" w:w="2268"/>
          </w:tcPr>
          <w:p>
            <w:r>
              <w:rPr>
                <w:rFonts w:ascii="Times New Roman" w:hAnsi="Times New Roman"/>
                <w:sz w:val="20"/>
              </w:rPr>
              <w:t>BVZ Zahnärzteversorgung</w:t>
            </w:r>
          </w:p>
        </w:tc>
        <w:tc>
          <w:tcPr>
            <w:tcW w:type="dxa" w:w="2268"/>
          </w:tcPr>
          <w:p>
            <w:r>
              <w:rPr>
                <w:rFonts w:ascii="Times New Roman" w:hAnsi="Times New Roman"/>
                <w:sz w:val="20"/>
              </w:rPr>
              <w:t>intern</w:t>
            </w:r>
          </w:p>
        </w:tc>
        <w:tc>
          <w:tcPr>
            <w:tcW w:type="dxa" w:w="2268"/>
          </w:tcPr>
          <w:p>
            <w:r>
              <w:rPr>
                <w:rFonts w:ascii="Times New Roman" w:hAnsi="Times New Roman"/>
                <w:sz w:val="20"/>
              </w:rPr>
              <w:t>4.127,42 € / M</w:t>
            </w:r>
          </w:p>
        </w:tc>
        <w:tc>
          <w:tcPr>
            <w:tcW w:type="dxa" w:w="2268"/>
          </w:tcPr>
          <w:p>
            <w:r>
              <w:rPr>
                <w:rFonts w:ascii="Times New Roman" w:hAnsi="Times New Roman"/>
                <w:sz w:val="20"/>
              </w:rPr>
              <w:t>2.063,71 € / M (Anwartschaft)</w:t>
            </w:r>
          </w:p>
        </w:tc>
      </w:tr>
      <w:tr>
        <w:tc>
          <w:tcPr>
            <w:tcW w:type="dxa" w:w="2268"/>
          </w:tcPr>
          <w:p>
            <w:r>
              <w:rPr>
                <w:rFonts w:ascii="Times New Roman" w:hAnsi="Times New Roman"/>
                <w:sz w:val="20"/>
              </w:rPr>
              <w:t>Allianz Riester</w:t>
            </w:r>
          </w:p>
        </w:tc>
        <w:tc>
          <w:tcPr>
            <w:tcW w:type="dxa" w:w="2268"/>
          </w:tcPr>
          <w:p>
            <w:r>
              <w:rPr>
                <w:rFonts w:ascii="Times New Roman" w:hAnsi="Times New Roman"/>
                <w:sz w:val="20"/>
              </w:rPr>
              <w:t>extern</w:t>
            </w:r>
          </w:p>
        </w:tc>
        <w:tc>
          <w:tcPr>
            <w:tcW w:type="dxa" w:w="2268"/>
          </w:tcPr>
          <w:p>
            <w:r>
              <w:rPr>
                <w:rFonts w:ascii="Times New Roman" w:hAnsi="Times New Roman"/>
                <w:sz w:val="20"/>
              </w:rPr>
              <w:t>18.500 € Kapital</w:t>
            </w:r>
          </w:p>
        </w:tc>
        <w:tc>
          <w:tcPr>
            <w:tcW w:type="dxa" w:w="2268"/>
          </w:tcPr>
          <w:p>
            <w:r>
              <w:rPr>
                <w:rFonts w:ascii="Times New Roman" w:hAnsi="Times New Roman"/>
                <w:sz w:val="20"/>
              </w:rPr>
              <w:t>9.250 €</w:t>
            </w:r>
          </w:p>
        </w:tc>
      </w:tr>
      <w:tr>
        <w:tc>
          <w:tcPr>
            <w:tcW w:type="dxa" w:w="2268"/>
          </w:tcPr>
          <w:p>
            <w:r>
              <w:rPr>
                <w:rFonts w:ascii="Times New Roman" w:hAnsi="Times New Roman"/>
                <w:sz w:val="20"/>
              </w:rPr>
              <w:t>Württembergische Direktversicherung</w:t>
            </w:r>
          </w:p>
        </w:tc>
        <w:tc>
          <w:tcPr>
            <w:tcW w:type="dxa" w:w="2268"/>
          </w:tcPr>
          <w:p>
            <w:r>
              <w:rPr>
                <w:rFonts w:ascii="Times New Roman" w:hAnsi="Times New Roman"/>
                <w:sz w:val="20"/>
              </w:rPr>
              <w:t>extern</w:t>
            </w:r>
          </w:p>
        </w:tc>
        <w:tc>
          <w:tcPr>
            <w:tcW w:type="dxa" w:w="2268"/>
          </w:tcPr>
          <w:p>
            <w:r>
              <w:rPr>
                <w:rFonts w:ascii="Times New Roman" w:hAnsi="Times New Roman"/>
                <w:sz w:val="20"/>
              </w:rPr>
              <w:t>45.000 € Kapital</w:t>
            </w:r>
          </w:p>
        </w:tc>
        <w:tc>
          <w:tcPr>
            <w:tcW w:type="dxa" w:w="2268"/>
          </w:tcPr>
          <w:p>
            <w:r>
              <w:rPr>
                <w:rFonts w:ascii="Times New Roman" w:hAnsi="Times New Roman"/>
                <w:sz w:val="20"/>
              </w:rPr>
              <w:t>22.500 €</w:t>
            </w:r>
          </w:p>
        </w:tc>
      </w:tr>
      <w:tr>
        <w:tc>
          <w:tcPr>
            <w:tcW w:type="dxa" w:w="2268"/>
          </w:tcPr>
          <w:p>
            <w:r>
              <w:rPr>
                <w:rFonts w:ascii="Times New Roman" w:hAnsi="Times New Roman"/>
                <w:b/>
                <w:sz w:val="20"/>
              </w:rPr>
              <w:t>Kapitalwertsumme der Anrechte ETM</w:t>
            </w:r>
          </w:p>
        </w:tc>
        <w:tc>
          <w:tcPr>
            <w:tcW w:type="dxa" w:w="2268"/>
          </w:tcPr>
          <w:p/>
        </w:tc>
        <w:tc>
          <w:tcPr>
            <w:tcW w:type="dxa" w:w="2268"/>
          </w:tcPr>
          <w:p>
            <w:r>
              <w:rPr>
                <w:rFonts w:ascii="Times New Roman" w:hAnsi="Times New Roman"/>
                <w:b/>
                <w:sz w:val="20"/>
              </w:rPr>
              <w:t>476.353,20 €</w:t>
            </w:r>
          </w:p>
        </w:tc>
        <w:tc>
          <w:tcPr>
            <w:tcW w:type="dxa" w:w="2268"/>
          </w:tcPr>
          <w:p>
            <w:r>
              <w:rPr>
                <w:rFonts w:ascii="Times New Roman" w:hAnsi="Times New Roman"/>
                <w:b/>
                <w:sz w:val="20"/>
              </w:rPr>
              <w:t>238.176,60 €</w:t>
            </w:r>
          </w:p>
        </w:tc>
      </w:tr>
    </w:tbl>
    <w:p>
      <w:pPr>
        <w:pStyle w:val="Heading2"/>
      </w:pPr>
      <w:r>
        <w:rPr>
          <w:rFonts w:ascii="Times New Roman" w:hAnsi="Times New Roman"/>
        </w:rPr>
        <w:t>6.5 Praxiseigene Altersversorgung — keine</w:t>
      </w:r>
    </w:p>
    <w:p>
      <w:pPr>
        <w:jc w:val="left"/>
      </w:pPr>
      <w:r>
        <w:t xml:space="preserve">Eine über die BVZ hinausgehende eigene Altersvorsorge des Ehemanns (private Rentenversicherung, fondsgebundene Versicherung, Investment-Sparplan) </w:t>
      </w:r>
      <w:r>
        <w:rPr>
          <w:b/>
        </w:rPr>
        <w:t>besteht nicht</w:t>
      </w:r>
      <w:r>
        <w:t>. Der Ehemann behauptet, er habe darauf bewusst verzichtet, weil das Paar gemeinsam von einem späteren Erbe der Ehefrau ausgegangen sei.</w:t>
      </w:r>
    </w:p>
    <w:p>
      <w:pPr>
        <w:jc w:val="left"/>
      </w:pPr>
      <w:r>
        <w:t xml:space="preserve">Diese Behauptung ist nicht belegt. Dokumente, gemeinsame Vermögensplanungen, Gesprächsnotizen oder eine Vereinbarung in diesem Sinne legt der Ehemann nicht vor; auch die Anhörung der Mandantin in der mündlichen Verhandlung am 18.10.2022 hat ergeben, dass sie eine derartige Verständigung niemals geäußert habe. Hierzu ist die Behauptung des Ehemannes auch deshalb unschlüssig, weil die Erbschaft Winterstein 2019 — also fast 30 Jahre nach Eheschließung — vom Erblasser </w:t>
      </w:r>
      <w:r>
        <w:rPr>
          <w:b/>
        </w:rPr>
        <w:t>erst</w:t>
      </w:r>
      <w:r>
        <w:t xml:space="preserve"> 2014 testamentarisch verfügt wurde. Es war für niemanden im Jahr 1987 oder in den 1990er Jahren absehbar, dass die Ehefrau dieses Vermögen erben würde.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