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07 — Versorgungsanrechte Ehefrau</w:t>
      </w:r>
    </w:p>
    <w:p>
      <w:pPr>
        <w:jc w:val="left"/>
      </w:pPr>
      <w:r>
        <w:t>Stichtag: Ehezeitende 30.04.2021 (Paragraf 3 Abs. 1 VersAusglG)</w:t>
      </w:r>
    </w:p>
    <w:p>
      <w:pPr>
        <w:pStyle w:val="Heading2"/>
      </w:pPr>
      <w:r>
        <w:rPr>
          <w:rFonts w:ascii="Times New Roman" w:hAnsi="Times New Roman"/>
        </w:rPr>
        <w:t>7.1 Beamtenversorgung Freistaat Bayern</w:t>
      </w:r>
    </w:p>
    <w:p>
      <w:pPr>
        <w:pStyle w:val="ListBullet"/>
      </w:pPr>
      <w:r>
        <w:t xml:space="preserve">Versorgungsträger: </w:t>
      </w:r>
      <w:r>
        <w:rPr>
          <w:b/>
        </w:rPr>
        <w:t>Landesamt für Finanzen — Dienststelle Versorgung</w:t>
      </w:r>
      <w:r>
        <w:t>, Krelingstraße 50, 90408 Nürnberg</w:t>
      </w:r>
    </w:p>
    <w:p>
      <w:pPr>
        <w:pStyle w:val="ListBullet"/>
      </w:pPr>
      <w:r>
        <w:t>Personalnummer: 0211 081 988 / Schäfer, Leonie</w:t>
      </w:r>
    </w:p>
    <w:p>
      <w:pPr>
        <w:pStyle w:val="ListBullet"/>
      </w:pPr>
      <w:r>
        <w:t>Auskunft V/3 vom 22.09.2021 (Landesamt für Finanzen):</w:t>
      </w:r>
    </w:p>
    <w:p>
      <w:pPr>
        <w:pStyle w:val="ListBullet"/>
      </w:pPr>
      <w:r>
        <w:t xml:space="preserve">Anerkannte ruhegehaltfähige Dienstzeit zum 30.04.2021: 33 Jahre 8 Monate (Vorbereitungsdienst und Beamtenverhältnis); davon </w:t>
      </w:r>
      <w:r>
        <w:rPr>
          <w:b/>
        </w:rPr>
        <w:t>Ehezeitanteil 32 Jahre 7 Monate</w:t>
      </w:r>
    </w:p>
    <w:p>
      <w:pPr>
        <w:pStyle w:val="ListBullet"/>
      </w:pPr>
      <w:r>
        <w:t>Hypothetische Pensionsfeststellung zum Stichtag (Vollzeit, A 12 Stufe 11): monatlich 2.732,16 €</w:t>
      </w:r>
    </w:p>
    <w:p>
      <w:pPr>
        <w:pStyle w:val="ListBullet"/>
      </w:pPr>
      <w:r>
        <w:t xml:space="preserve">Tatsächlich wegen Teilzeitanteilen reduzierter ehezeitlicher Pensionsanspruch: monatlich </w:t>
      </w:r>
      <w:r>
        <w:rPr>
          <w:b/>
        </w:rPr>
        <w:t>1.847,82 € ≈ 1.850 €</w:t>
      </w:r>
    </w:p>
    <w:p>
      <w:pPr>
        <w:pStyle w:val="ListBullet"/>
      </w:pPr>
      <w:r>
        <w:t xml:space="preserve">korrespondierender Kapitalwert (Barwertverfahren Beamtenversorgung; Paragraf 47 VersAusglG-Verordnung) zum Stichtag: </w:t>
      </w:r>
      <w:r>
        <w:rPr>
          <w:b/>
        </w:rPr>
        <w:t>185.000,00 €</w:t>
      </w:r>
    </w:p>
    <w:p>
      <w:pPr>
        <w:pStyle w:val="ListBullet"/>
      </w:pPr>
      <w:r>
        <w:t xml:space="preserve">Vorgeschlagener Ausgleichswert: </w:t>
      </w:r>
      <w:r>
        <w:rPr>
          <w:b/>
        </w:rPr>
        <w:t>925,00 € / Monat</w:t>
      </w:r>
      <w:r>
        <w:t xml:space="preserve"> bzw. Kapitalwert </w:t>
      </w:r>
      <w:r>
        <w:rPr>
          <w:b/>
        </w:rPr>
        <w:t>92.500,00 €</w:t>
      </w:r>
    </w:p>
    <w:p>
      <w:pPr>
        <w:pStyle w:val="ListBullet"/>
      </w:pPr>
      <w:r>
        <w:t xml:space="preserve">Form des Ausgleichs: </w:t>
      </w:r>
      <w:r>
        <w:rPr>
          <w:b/>
        </w:rPr>
        <w:t>interne Teilung nach Paragraf 16 VersAusglG</w:t>
      </w:r>
      <w:r>
        <w:t>, dh. Begründung eines selbständigen Ruhegehaltsanrechts beim Freistaat Bayern auf den Namen des Ehemanns; Paragraf 14 BeamtVG iVm. Bayerischem Beamtenversorgungsgesetz</w:t>
      </w:r>
    </w:p>
    <w:p>
      <w:pPr>
        <w:pStyle w:val="Heading2"/>
      </w:pPr>
      <w:r>
        <w:rPr>
          <w:rFonts w:ascii="Times New Roman" w:hAnsi="Times New Roman"/>
        </w:rPr>
        <w:t>7.2 Gesetzliche Rentenversicherung (Deutsche Rentenversicherung Bund)</w:t>
      </w:r>
    </w:p>
    <w:p>
      <w:pPr>
        <w:pStyle w:val="ListBullet"/>
      </w:pPr>
      <w:r>
        <w:t>Versicherungs-Nr.: 11 110661 W 042</w:t>
      </w:r>
    </w:p>
    <w:p>
      <w:pPr>
        <w:pStyle w:val="ListBullet"/>
      </w:pPr>
      <w:r>
        <w:t>Hintergrund: Beschäftigung als Studentin in den Semesterferien (1980 – 1985), Referendariat (1985 – 1987), kurzzeitige Aushilfstätigkeiten in den 1990er Jahren; danach nur Vollbeamtin, keine Beiträge zur DRV</w:t>
      </w:r>
    </w:p>
    <w:p>
      <w:pPr>
        <w:pStyle w:val="ListBullet"/>
      </w:pPr>
      <w:r>
        <w:t>Auskunft vom 14.07.2021:</w:t>
      </w:r>
    </w:p>
    <w:p>
      <w:pPr>
        <w:pStyle w:val="ListBullet"/>
      </w:pPr>
      <w:r>
        <w:t>Entgeltpunkte West insgesamt: 12,5</w:t>
      </w:r>
    </w:p>
    <w:p>
      <w:pPr>
        <w:pStyle w:val="ListBullet"/>
      </w:pPr>
      <w:r>
        <w:t>Ehezeitanteil 1987 – 2021: 5,2 Entgeltpunkte (eingebrachte Pflichtbeiträge in Aushilfstätigkeiten)</w:t>
      </w:r>
    </w:p>
    <w:p>
      <w:pPr>
        <w:pStyle w:val="ListBullet"/>
      </w:pPr>
      <w:r>
        <w:t xml:space="preserve">Vorgeschlagener Ausgleichswert (interne Teilung Paragraf 10 VersAusglG): </w:t>
      </w:r>
      <w:r>
        <w:rPr>
          <w:b/>
        </w:rPr>
        <w:t>2,6 Entgeltpunkte</w:t>
      </w:r>
      <w:r>
        <w:t>, Kapitalwert nach RW-Verordnung: ca. 22.140 €</w:t>
      </w:r>
    </w:p>
    <w:p>
      <w:pPr>
        <w:pStyle w:val="Heading2"/>
      </w:pPr>
      <w:r>
        <w:rPr>
          <w:rFonts w:ascii="Times New Roman" w:hAnsi="Times New Roman"/>
        </w:rPr>
        <w:t>7.3 Private Vorsorge — keine</w:t>
      </w:r>
    </w:p>
    <w:p>
      <w:pPr>
        <w:jc w:val="left"/>
      </w:pPr>
      <w:r>
        <w:t>Die Mandantin verfügt über keine private Renten-, Lebens- oder Riester-Versicherung. Sie hat (außer ihrem Lehrerinnen-Gehalt) jahrzehntelang keine über die Pflichtversicherung hinausgehenden Beiträge geleistet.</w:t>
      </w:r>
    </w:p>
    <w:p>
      <w:pPr>
        <w:pStyle w:val="Heading2"/>
      </w:pPr>
      <w:r>
        <w:rPr>
          <w:rFonts w:ascii="Times New Roman" w:hAnsi="Times New Roman"/>
        </w:rPr>
        <w:t>7.4 Zwischensumme Ehefrau</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Anrecht</w:t>
            </w:r>
          </w:p>
        </w:tc>
        <w:tc>
          <w:tcPr>
            <w:tcW w:type="dxa" w:w="2268"/>
          </w:tcPr>
          <w:p>
            <w:r>
              <w:rPr>
                <w:rFonts w:ascii="Times New Roman" w:hAnsi="Times New Roman"/>
                <w:b/>
                <w:sz w:val="20"/>
              </w:rPr>
              <w:t>Form</w:t>
            </w:r>
          </w:p>
        </w:tc>
        <w:tc>
          <w:tcPr>
            <w:tcW w:type="dxa" w:w="2268"/>
          </w:tcPr>
          <w:p>
            <w:r>
              <w:rPr>
                <w:rFonts w:ascii="Times New Roman" w:hAnsi="Times New Roman"/>
                <w:b/>
                <w:sz w:val="20"/>
              </w:rPr>
              <w:t>Ehezeitanteil</w:t>
            </w:r>
          </w:p>
        </w:tc>
        <w:tc>
          <w:tcPr>
            <w:tcW w:type="dxa" w:w="2268"/>
          </w:tcPr>
          <w:p>
            <w:r>
              <w:rPr>
                <w:rFonts w:ascii="Times New Roman" w:hAnsi="Times New Roman"/>
                <w:b/>
                <w:sz w:val="20"/>
              </w:rPr>
              <w:t>Vorgeschlagener Ausgleichswert</w:t>
            </w:r>
          </w:p>
        </w:tc>
      </w:tr>
      <w:tr>
        <w:tc>
          <w:tcPr>
            <w:tcW w:type="dxa" w:w="2268"/>
          </w:tcPr>
          <w:p>
            <w:r>
              <w:rPr>
                <w:rFonts w:ascii="Times New Roman" w:hAnsi="Times New Roman"/>
                <w:sz w:val="20"/>
              </w:rPr>
              <w:t>Beamtenversorgung Bayern</w:t>
            </w:r>
          </w:p>
        </w:tc>
        <w:tc>
          <w:tcPr>
            <w:tcW w:type="dxa" w:w="2268"/>
          </w:tcPr>
          <w:p>
            <w:r>
              <w:rPr>
                <w:rFonts w:ascii="Times New Roman" w:hAnsi="Times New Roman"/>
                <w:sz w:val="20"/>
              </w:rPr>
              <w:t>intern</w:t>
            </w:r>
          </w:p>
        </w:tc>
        <w:tc>
          <w:tcPr>
            <w:tcW w:type="dxa" w:w="2268"/>
          </w:tcPr>
          <w:p>
            <w:r>
              <w:rPr>
                <w:rFonts w:ascii="Times New Roman" w:hAnsi="Times New Roman"/>
                <w:sz w:val="20"/>
              </w:rPr>
              <w:t>1.847,82 € / M</w:t>
            </w:r>
          </w:p>
        </w:tc>
        <w:tc>
          <w:tcPr>
            <w:tcW w:type="dxa" w:w="2268"/>
          </w:tcPr>
          <w:p>
            <w:r>
              <w:rPr>
                <w:rFonts w:ascii="Times New Roman" w:hAnsi="Times New Roman"/>
                <w:sz w:val="20"/>
              </w:rPr>
              <w:t>925,00 € / M (Anwartschaft)</w:t>
            </w:r>
          </w:p>
        </w:tc>
      </w:tr>
      <w:tr>
        <w:tc>
          <w:tcPr>
            <w:tcW w:type="dxa" w:w="2268"/>
          </w:tcPr>
          <w:p>
            <w:r>
              <w:rPr>
                <w:rFonts w:ascii="Times New Roman" w:hAnsi="Times New Roman"/>
                <w:sz w:val="20"/>
              </w:rPr>
              <w:t>DRV Bund</w:t>
            </w:r>
          </w:p>
        </w:tc>
        <w:tc>
          <w:tcPr>
            <w:tcW w:type="dxa" w:w="2268"/>
          </w:tcPr>
          <w:p>
            <w:r>
              <w:rPr>
                <w:rFonts w:ascii="Times New Roman" w:hAnsi="Times New Roman"/>
                <w:sz w:val="20"/>
              </w:rPr>
              <w:t>intern</w:t>
            </w:r>
          </w:p>
        </w:tc>
        <w:tc>
          <w:tcPr>
            <w:tcW w:type="dxa" w:w="2268"/>
          </w:tcPr>
          <w:p>
            <w:r>
              <w:rPr>
                <w:rFonts w:ascii="Times New Roman" w:hAnsi="Times New Roman"/>
                <w:sz w:val="20"/>
              </w:rPr>
              <w:t>5,2 EP</w:t>
            </w:r>
          </w:p>
        </w:tc>
        <w:tc>
          <w:tcPr>
            <w:tcW w:type="dxa" w:w="2268"/>
          </w:tcPr>
          <w:p>
            <w:r>
              <w:rPr>
                <w:rFonts w:ascii="Times New Roman" w:hAnsi="Times New Roman"/>
                <w:sz w:val="20"/>
              </w:rPr>
              <w:t>2,6 EP</w:t>
            </w:r>
          </w:p>
        </w:tc>
      </w:tr>
      <w:tr>
        <w:tc>
          <w:tcPr>
            <w:tcW w:type="dxa" w:w="2268"/>
          </w:tcPr>
          <w:p>
            <w:r>
              <w:rPr>
                <w:rFonts w:ascii="Times New Roman" w:hAnsi="Times New Roman"/>
                <w:b/>
                <w:sz w:val="20"/>
              </w:rPr>
              <w:t>Kapitalwertsumme</w:t>
            </w:r>
          </w:p>
        </w:tc>
        <w:tc>
          <w:tcPr>
            <w:tcW w:type="dxa" w:w="2268"/>
          </w:tcPr>
          <w:p/>
        </w:tc>
        <w:tc>
          <w:tcPr>
            <w:tcW w:type="dxa" w:w="2268"/>
          </w:tcPr>
          <w:p>
            <w:r>
              <w:rPr>
                <w:rFonts w:ascii="Times New Roman" w:hAnsi="Times New Roman"/>
                <w:b/>
                <w:sz w:val="20"/>
              </w:rPr>
              <w:t>ca. 207.140 €</w:t>
            </w:r>
          </w:p>
        </w:tc>
        <w:tc>
          <w:tcPr>
            <w:tcW w:type="dxa" w:w="2268"/>
          </w:tcPr>
          <w:p>
            <w:r>
              <w:rPr>
                <w:rFonts w:ascii="Times New Roman" w:hAnsi="Times New Roman"/>
                <w:b/>
                <w:sz w:val="20"/>
              </w:rPr>
              <w:t>ca. 114.640 €</w:t>
            </w:r>
          </w:p>
        </w:tc>
      </w:tr>
    </w:tbl>
    <w:p>
      <w:pPr>
        <w:pStyle w:val="Heading2"/>
      </w:pPr>
      <w:r>
        <w:rPr>
          <w:rFonts w:ascii="Times New Roman" w:hAnsi="Times New Roman"/>
        </w:rPr>
        <w:t>7.5 Gegenrechnung des Saldos</w:t>
      </w:r>
    </w:p>
    <w:p>
      <w:pPr>
        <w:jc w:val="left"/>
      </w:pPr>
      <w:r>
        <w:t>Saldoartig gegenübergestellt:</w:t>
      </w:r>
    </w:p>
    <w:tbl>
      <w:tblPr>
        <w:tblStyle w:val="TableGrid"/>
        <w:tblW w:type="auto" w:w="0"/>
        <w:tblLook w:firstColumn="1" w:firstRow="1" w:lastColumn="0" w:lastRow="0" w:noHBand="0" w:noVBand="1" w:val="04A0"/>
      </w:tblPr>
      <w:tblGrid>
        <w:gridCol w:w="3024"/>
        <w:gridCol w:w="3024"/>
        <w:gridCol w:w="3024"/>
      </w:tblGrid>
      <w:tr>
        <w:tc>
          <w:tcPr>
            <w:tcW w:type="dxa" w:w="3024"/>
          </w:tcPr>
          <w:p/>
        </w:tc>
        <w:tc>
          <w:tcPr>
            <w:tcW w:type="dxa" w:w="3024"/>
          </w:tcPr>
          <w:p>
            <w:r>
              <w:rPr>
                <w:rFonts w:ascii="Times New Roman" w:hAnsi="Times New Roman"/>
                <w:b/>
                <w:sz w:val="20"/>
              </w:rPr>
              <w:t>Ehemann</w:t>
            </w:r>
          </w:p>
        </w:tc>
        <w:tc>
          <w:tcPr>
            <w:tcW w:type="dxa" w:w="3024"/>
          </w:tcPr>
          <w:p>
            <w:r>
              <w:rPr>
                <w:rFonts w:ascii="Times New Roman" w:hAnsi="Times New Roman"/>
                <w:b/>
                <w:sz w:val="20"/>
              </w:rPr>
              <w:t>Ehefrau</w:t>
            </w:r>
          </w:p>
        </w:tc>
      </w:tr>
      <w:tr>
        <w:tc>
          <w:tcPr>
            <w:tcW w:type="dxa" w:w="3024"/>
          </w:tcPr>
          <w:p>
            <w:r>
              <w:rPr>
                <w:rFonts w:ascii="Times New Roman" w:hAnsi="Times New Roman"/>
                <w:sz w:val="20"/>
              </w:rPr>
              <w:t>Kapitalwert Ehezeit</w:t>
            </w:r>
          </w:p>
        </w:tc>
        <w:tc>
          <w:tcPr>
            <w:tcW w:type="dxa" w:w="3024"/>
          </w:tcPr>
          <w:p>
            <w:r>
              <w:rPr>
                <w:rFonts w:ascii="Times New Roman" w:hAnsi="Times New Roman"/>
                <w:sz w:val="20"/>
              </w:rPr>
              <w:t>476.353,20 €</w:t>
            </w:r>
          </w:p>
        </w:tc>
        <w:tc>
          <w:tcPr>
            <w:tcW w:type="dxa" w:w="3024"/>
          </w:tcPr>
          <w:p>
            <w:r>
              <w:rPr>
                <w:rFonts w:ascii="Times New Roman" w:hAnsi="Times New Roman"/>
                <w:sz w:val="20"/>
              </w:rPr>
              <w:t>207.140 €</w:t>
            </w:r>
          </w:p>
        </w:tc>
      </w:tr>
      <w:tr>
        <w:tc>
          <w:tcPr>
            <w:tcW w:type="dxa" w:w="3024"/>
          </w:tcPr>
          <w:p>
            <w:r>
              <w:rPr>
                <w:rFonts w:ascii="Times New Roman" w:hAnsi="Times New Roman"/>
                <w:sz w:val="20"/>
              </w:rPr>
              <w:t>Ausgleichswert ges.</w:t>
            </w:r>
          </w:p>
        </w:tc>
        <w:tc>
          <w:tcPr>
            <w:tcW w:type="dxa" w:w="3024"/>
          </w:tcPr>
          <w:p>
            <w:r>
              <w:rPr>
                <w:rFonts w:ascii="Times New Roman" w:hAnsi="Times New Roman"/>
                <w:sz w:val="20"/>
              </w:rPr>
              <w:t>238.176,60 €</w:t>
            </w:r>
          </w:p>
        </w:tc>
        <w:tc>
          <w:tcPr>
            <w:tcW w:type="dxa" w:w="3024"/>
          </w:tcPr>
          <w:p>
            <w:r>
              <w:rPr>
                <w:rFonts w:ascii="Times New Roman" w:hAnsi="Times New Roman"/>
                <w:sz w:val="20"/>
              </w:rPr>
              <w:t>114.640 €</w:t>
            </w:r>
          </w:p>
        </w:tc>
      </w:tr>
    </w:tbl>
    <w:p>
      <w:pPr>
        <w:jc w:val="left"/>
      </w:pPr>
      <w:r>
        <w:t xml:space="preserve">Die Ehefrau hätte in Höhe von </w:t>
      </w:r>
      <w:r>
        <w:rPr>
          <w:b/>
        </w:rPr>
        <w:t>123.536,60 €</w:t>
      </w:r>
      <w:r>
        <w:t xml:space="preserve"> (Kapital-Differenz der Ausgleichswerte) ein Mehr zu erhalten, wäre der Versorgungsausgleich vollständig und ordnungsgemäß durchzuführen. Dieser Saldo ist die wirtschaftliche Ausgangsgröße der Auseinandersetzung. Das OLG hat das nicht im Einzelnen rechnerisch dargestellt, sondern den Versorgungsausgleich pauschal ausgeschlossen.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