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Beschwerdeerwiderung der Antragsgegnerin (Schriftsatz Söll-Rödelsteiner vom 04.07.2022)</w:t>
      </w:r>
    </w:p>
    <w:p>
      <w:pPr>
        <w:jc w:val="left"/>
      </w:pPr>
      <w:r>
        <w:rPr>
          <w:b/>
        </w:rPr>
        <w:t>OLG Nürnberg, 7 UF 743/22</w:t>
      </w:r>
    </w:p>
    <w:p>
      <w:pPr>
        <w:pStyle w:val="Heading2"/>
      </w:pPr>
      <w:r>
        <w:rPr>
          <w:rFonts w:ascii="Times New Roman" w:hAnsi="Times New Roman"/>
        </w:rPr>
        <w:t>Anträge</w:t>
      </w:r>
    </w:p>
    <w:p>
      <w:pPr>
        <w:pStyle w:val="ListNumber"/>
      </w:pPr>
      <w:r>
        <w:t>Die Beschwerde wird zurückgewiesen.</w:t>
      </w:r>
    </w:p>
    <w:p>
      <w:pPr>
        <w:pStyle w:val="ListNumber"/>
      </w:pPr>
      <w:r>
        <w:t>Hilfsweise: Der Versorgungsausgleich wird nach Maßgabe des Beschlusses des AG Nürnberg-Fürth vom 28.02.2022 mit der Maßgabe durchgeführt, dass dem Beschwerdeführer auf die ihm zustehenden Anrechte ein Härtekorrektiv nach Paragraf 27 VersAusglG in Höhe von 25 % gewährt wird.</w:t>
      </w:r>
    </w:p>
    <w:p>
      <w:pPr>
        <w:pStyle w:val="ListNumber"/>
      </w:pPr>
      <w:r>
        <w:t>Die Kosten der Beschwerde trägt der Beschwerdeführer.</w:t>
      </w:r>
    </w:p>
    <w:p>
      <w:pPr>
        <w:pStyle w:val="Heading2"/>
      </w:pPr>
      <w:r>
        <w:rPr>
          <w:rFonts w:ascii="Times New Roman" w:hAnsi="Times New Roman"/>
        </w:rPr>
        <w:t>Schwerpunkte der Erwiderung</w:t>
      </w:r>
    </w:p>
    <w:p>
      <w:pPr>
        <w:pStyle w:val="Heading3"/>
      </w:pPr>
      <w:r>
        <w:rPr>
          <w:rFonts w:ascii="Times New Roman" w:hAnsi="Times New Roman"/>
        </w:rPr>
        <w:t>1 Paragraf 27 VersAusglG ist eng auszulegen</w:t>
      </w:r>
    </w:p>
    <w:p>
      <w:pPr>
        <w:pStyle w:val="ListBullet"/>
      </w:pPr>
      <w:r>
        <w:t>Paragraf 27 VersAusglG ist Ausnahmevorschrift. Sie greift nur, wenn die Durchführung des Wertausgleichs „grob unbillig" wäre und dieses Ergebnis bei umfassender Würdigung der Vermögens-, Einkommens- und Versorgungsverhältnisse Beider zu bejahen ist (BGH FamRZ 2009, 1735 Rn. 12; BGH FamRZ 2011, 1785 Rn. 21).</w:t>
      </w:r>
    </w:p>
    <w:p>
      <w:pPr>
        <w:pStyle w:val="ListBullet"/>
      </w:pPr>
      <w:r>
        <w:t>Wirtschaftliches Ungleichgewicht allein genügt nach gefestigter höchstrichterlicher Rechtsprechung nicht; erforderlich ist ein Sonderfall (Senatsbeschluss BGH XII ZB 213/12).</w:t>
      </w:r>
    </w:p>
    <w:p>
      <w:pPr>
        <w:pStyle w:val="Heading3"/>
      </w:pPr>
      <w:r>
        <w:rPr>
          <w:rFonts w:ascii="Times New Roman" w:hAnsi="Times New Roman"/>
        </w:rPr>
        <w:t>2 Beamtenversorgung der Antragsgegnerin ist nicht „im Vermögen aufgegangen"</w:t>
      </w:r>
    </w:p>
    <w:p>
      <w:pPr>
        <w:pStyle w:val="ListBullet"/>
      </w:pPr>
      <w:r>
        <w:t xml:space="preserve">Die Antragsgegnerin hat ihr Beamtenversorgungsanrecht durch 33 Jahre </w:t>
      </w:r>
      <w:r>
        <w:rPr>
          <w:b/>
        </w:rPr>
        <w:t>eigene</w:t>
      </w:r>
      <w:r>
        <w:t xml:space="preserve"> ruhegehaltfähige Dienstzeit erworben.</w:t>
      </w:r>
    </w:p>
    <w:p>
      <w:pPr>
        <w:pStyle w:val="ListBullet"/>
      </w:pPr>
      <w:r>
        <w:t>Diese Anwartschaft ist nicht „durch die Ehe" entstanden, sondern durch ihre persönliche Arbeitsleistung. Sie ist dem Versorgungsausgleich nicht entzogen, weil sie ausgleichspflichtig ist und der Ausgleich diesen persönlichen Anspruch teilt.</w:t>
      </w:r>
    </w:p>
    <w:p>
      <w:pPr>
        <w:pStyle w:val="ListBullet"/>
      </w:pPr>
      <w:r>
        <w:t>Der Beschwerdeführer hat einen eigenen, nahezu spiegelbildlichen Versorgungsanspruch durch seine Tätigkeit als Zahnarzt erworben. Ein Sonderfall liegt nicht vor.</w:t>
      </w:r>
    </w:p>
    <w:p>
      <w:pPr>
        <w:pStyle w:val="Heading3"/>
      </w:pPr>
      <w:r>
        <w:rPr>
          <w:rFonts w:ascii="Times New Roman" w:hAnsi="Times New Roman"/>
        </w:rPr>
        <w:t>3 Erbe ist privilegiertes Anfangsvermögen, nicht Versorgung</w:t>
      </w:r>
    </w:p>
    <w:p>
      <w:pPr>
        <w:pStyle w:val="ListBullet"/>
      </w:pPr>
      <w:r>
        <w:t>Das Erbe Winterstein 2019 ist nach Paragraf 1374 Abs. 2 BGB privilegiertes Anfangsvermögen. Die Antragsgegnerin hat es nicht durch eheliche Mitwirkung des Beschwerdeführers erworben.</w:t>
      </w:r>
    </w:p>
    <w:p>
      <w:pPr>
        <w:pStyle w:val="ListBullet"/>
      </w:pPr>
      <w:r>
        <w:t>Es ist verfassungsrechtlich problematisch, der Antragsgegnerin allein deshalb den Versorgungsausgleich zu nehmen, weil sie geerbt hat (Art. 14 GG, Art. 3 GG).</w:t>
      </w:r>
    </w:p>
    <w:p>
      <w:pPr>
        <w:pStyle w:val="ListBullet"/>
      </w:pPr>
      <w:r>
        <w:t>Das Risiko der Erbschaft trägt allein die Antragsgegnerin: Liquiditätsrisiko, Substanzrisiko (Renovierung, Leerstand, Verkehrswert), Klagerisiken durch ihren Bruder Franz Winterstein wegen Pflichtteilsergänzung sind nicht ausgeschlossen (siehe Schriftverkehr RA Wallner für Franz Winterstein vom 16.06.2021).</w:t>
      </w:r>
    </w:p>
    <w:p>
      <w:pPr>
        <w:pStyle w:val="Heading3"/>
      </w:pPr>
      <w:r>
        <w:rPr>
          <w:rFonts w:ascii="Times New Roman" w:hAnsi="Times New Roman"/>
        </w:rPr>
        <w:t>4 Behauptung „gemeinsame Vermögensplanung im Hinblick auf das Erbe" — unschlüssig</w:t>
      </w:r>
    </w:p>
    <w:p>
      <w:pPr>
        <w:pStyle w:val="ListBullet"/>
      </w:pPr>
      <w:r>
        <w:t xml:space="preserve">Das Testament des Onkels stammt aus dem Jahr </w:t>
      </w:r>
      <w:r>
        <w:rPr>
          <w:b/>
        </w:rPr>
        <w:t>2014</w:t>
      </w:r>
      <w:r>
        <w:t>, ca. 27 Jahre nach Eheschließung.</w:t>
      </w:r>
    </w:p>
    <w:p>
      <w:pPr>
        <w:pStyle w:val="ListBullet"/>
      </w:pPr>
      <w:r>
        <w:t>Bis 2014 konnte niemand wissen, ob der Onkel die Antragsgegnerin überhaupt bedenkt, sie überlebt oder ob sein Vermögen erhalten bleibt.</w:t>
      </w:r>
    </w:p>
    <w:p>
      <w:pPr>
        <w:pStyle w:val="ListBullet"/>
      </w:pPr>
      <w:r>
        <w:t>Eine darauf gegründete Lebensplanung des Beschwerdeführers über mehrere Jahrzehnte ist nicht nachvollziehbar.</w:t>
      </w:r>
    </w:p>
    <w:p>
      <w:pPr>
        <w:pStyle w:val="ListBullet"/>
      </w:pPr>
      <w:r>
        <w:t>Beweis: Vernehmung der Mandantin (Aussage vom 18.10.2022): Eine derartige Vereinbarung habe es niemals gegeben.</w:t>
      </w:r>
    </w:p>
    <w:p>
      <w:pPr>
        <w:pStyle w:val="Heading3"/>
      </w:pPr>
      <w:r>
        <w:rPr>
          <w:rFonts w:ascii="Times New Roman" w:hAnsi="Times New Roman"/>
        </w:rPr>
        <w:t>5 Gesundheit des Beschwerdeführers</w:t>
      </w:r>
    </w:p>
    <w:p>
      <w:pPr>
        <w:pStyle w:val="ListBullet"/>
      </w:pPr>
      <w:r>
        <w:t>Die behauptete Arbeitsunfähigkeit ist nicht nachgewiesen. Vorgelegt ist ein einziges Attest des Orthopäden Dr. Reisinger.</w:t>
      </w:r>
    </w:p>
    <w:p>
      <w:pPr>
        <w:pStyle w:val="ListBullet"/>
      </w:pPr>
      <w:r>
        <w:t>Der Beschwerdeführer erzielt unverändert ein Nettoeinkommen aus seiner Praxis von 4.500 € monatlich (sein eigener Vortrag).</w:t>
      </w:r>
    </w:p>
    <w:p>
      <w:pPr>
        <w:pStyle w:val="ListBullet"/>
      </w:pPr>
      <w:r>
        <w:t xml:space="preserve">Er ist seit 1982 Pflichtmitglied der Bayerischen Versorgungskammer und durch sein Anrecht (Stand 30.04.2021) zu </w:t>
      </w:r>
      <w:r>
        <w:rPr>
          <w:b/>
        </w:rPr>
        <w:t>4.127,42 € monatlicher Altersrente</w:t>
      </w:r>
      <w:r>
        <w:t xml:space="preserve"> abgesichert.</w:t>
      </w:r>
    </w:p>
    <w:p>
      <w:pPr>
        <w:pStyle w:val="Heading3"/>
      </w:pPr>
      <w:r>
        <w:rPr>
          <w:rFonts w:ascii="Times New Roman" w:hAnsi="Times New Roman"/>
        </w:rPr>
        <w:t>6 Härtekorrektiv ist allenfalls geringfügig</w:t>
      </w:r>
    </w:p>
    <w:p>
      <w:pPr>
        <w:pStyle w:val="ListBullet"/>
      </w:pPr>
      <w:r>
        <w:t>Selbst bei Annahme eines Sondergrundes ist die richtige Folge nicht der vollständige Ausschluss, sondern allenfalls eine quotale Kürzung. Der vollständige Ausschluss verstößt gegen Paragraf 27 VersAusglG (Übermaßverbot, BGH XII ZB 503/15).</w:t>
      </w:r>
    </w:p>
    <w:p>
      <w:pPr>
        <w:pStyle w:val="Heading2"/>
      </w:pPr>
      <w:r>
        <w:rPr>
          <w:rFonts w:ascii="Times New Roman" w:hAnsi="Times New Roman"/>
        </w:rPr>
        <w:t>Beweisangebote</w:t>
      </w:r>
    </w:p>
    <w:p>
      <w:pPr>
        <w:pStyle w:val="ListBullet"/>
      </w:pPr>
      <w:r>
        <w:t>Verlesung des Testaments Theodor Winterstein vom 14.07.2014</w:t>
      </w:r>
    </w:p>
    <w:p>
      <w:pPr>
        <w:pStyle w:val="ListBullet"/>
      </w:pPr>
      <w:r>
        <w:t>Erbschein AG Bamberg VI 1138/19</w:t>
      </w:r>
    </w:p>
    <w:p>
      <w:pPr>
        <w:pStyle w:val="ListBullet"/>
      </w:pPr>
      <w:r>
        <w:t>Pflichtteilsergänzungs-Anspruchsschreiben RA Wallner für Franz Winterstein vom 16.06.2021</w:t>
      </w:r>
    </w:p>
    <w:p>
      <w:pPr>
        <w:pStyle w:val="ListBullet"/>
      </w:pPr>
      <w:r>
        <w:t>Vorlage Verkehrswertgutachten zur Immobilie Forchheim mit Anmerkungen zu Leerstandsrisiken</w:t>
      </w:r>
    </w:p>
    <w:p>
      <w:pPr>
        <w:pStyle w:val="ListBullet"/>
      </w:pPr>
      <w:r>
        <w:t>Anhörung der Antragsgegnerin</w:t>
      </w:r>
    </w:p>
    <w:p>
      <w:pPr>
        <w:pStyle w:val="ListBullet"/>
      </w:pPr>
      <w:r>
        <w:t>Hilfsweise: Sachverständigengutachten zum Wert der Versorgungsanrechte des Beschwerdeführers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