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Paragraf 27 VersAusglG — Rechtsprechungsspiegel</w:t>
      </w:r>
    </w:p>
    <w:p>
      <w:pPr>
        <w:jc w:val="left"/>
      </w:pPr>
      <w:r>
        <w:t>Zur Vorbereitung der BGH-Korrespondenzkanzlei. Alle Angaben sind Stand 30.11.2022 (Tag der Rechtsbeschwerdeeinlegung). Vor Versand an die BGH-Kanzlei sind die Entscheidungen taggenau zu prüfen.</w:t>
      </w:r>
    </w:p>
    <w:p>
      <w:pPr>
        <w:pStyle w:val="Heading2"/>
      </w:pPr>
      <w:r>
        <w:rPr>
          <w:rFonts w:ascii="Times New Roman" w:hAnsi="Times New Roman"/>
        </w:rPr>
        <w:t>Norm</w:t>
      </w:r>
    </w:p>
    <w:p>
      <w:pPr>
        <w:jc w:val="left"/>
      </w:pPr>
      <w:r>
        <w:rPr>
          <w:b/>
        </w:rPr>
        <w:t>Paragraf 27 VersAusglG — Beschränkung oder Wegfall</w:t>
      </w:r>
    </w:p>
    <w:p>
      <w:pPr>
        <w:jc w:val="left"/>
      </w:pPr>
      <w:r>
        <w:t>„Ein Wertausgleich findet ausnahmsweise nicht statt, soweit er grob unbillig wäre. Dies ist nur der Fall, wenn die gesamten Umstände des Einzelfalls es rechtfertigen, von der hälftigen Teilung abzuweichen."</w:t>
      </w:r>
    </w:p>
    <w:p>
      <w:pPr>
        <w:pStyle w:val="Heading2"/>
      </w:pPr>
      <w:r>
        <w:rPr>
          <w:rFonts w:ascii="Times New Roman" w:hAnsi="Times New Roman"/>
        </w:rPr>
        <w:t>Leitlinien der höchstrichterlichen Rechtsprechung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Kerngedanke (kurzgefasst — Wortlaut vor Zitierung verifizieren)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04.03.2009 — XII ZB 117/08, FamRZ 2009, 1735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Auch nach der VAStrRG-Reform 2009 darf der Versorgungsausgleich nur in atypischen Ausnahmefällen ausgeschlossen werden. Der Maßstab des Paragrafen 27 VersAusglG entspricht dem alten Paragraf 1587c BGB.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23.02.2011 — XII ZB 543/10, FamRZ 2011, 706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 wirtschaftliches Ungleichgewicht allein begründet keine grobe Unbilligkeit. Hinzutreten müssen weitere Umstände, die die Durchführung des Versorgungsausgleichs als ungerecht erscheinen lassen.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13.07.2011 — XII ZB 533/09, FamRZ 2011, 1785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Eine Differenzierung danach, ob das Vermögen aus Erbschaft oder eigener Arbeitsleistung stammt, ist nicht statthaft, soweit es um die Frage der Bedarfsdeckung geht. Maßgeblich ist die tatsächliche Versorgungslage.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30.10.2013 — XII ZB 471/12, FamRZ 2014, 191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Härteklausel kann nur greifen, wenn eine umfassende Würdigung sämtlicher Umstände eine grobe Unbilligkeit ergibt. Eine Pauschalierung „Vermögen ersetzt Versorgung" trägt nicht.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09.09.2015 — XII ZB 503/15, FamRZ 2015, 2125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 vollständiger Ausschluss kommt nur in Ausnahmefällen in Betracht; gestaffelte Lösungen (quotale Reduzierung, Beschränkung auf einzelne Anrechte) sind vorrangig. Übermaßverbot.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16.03.2016 — XII ZB 540/14, FamRZ 2016, 1142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Schenkungen und Erbschaften an einen Ehegatten begründen für sich keinen Grund nach Paragraf 27 VersAusglG, weil das Familienvermögensrecht über Paragraf 1374 Abs. 2 BGB und die Trennung der Vermögensmassen bereits einen angemessenen Ausgleich vorsieht.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23.05.2018 — XII ZB 7/18, FamRZ 2018, 1418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Die Berücksichtigung individueller Versorgungsbedarfe (Krankheit, Vorruhestand) erfolgt grundsätzlich nicht im Rahmen des Paragrafen 27, sondern erst bei der </w:t>
            </w:r>
            <w:r>
              <w:rPr>
                <w:rFonts w:ascii="Times New Roman" w:hAnsi="Times New Roman"/>
                <w:b/>
                <w:sz w:val="20"/>
              </w:rPr>
              <w:t>Wertausgleich nach der Scheidung</w:t>
            </w:r>
            <w:r>
              <w:rPr>
                <w:rFonts w:ascii="Times New Roman" w:hAnsi="Times New Roman"/>
                <w:sz w:val="20"/>
              </w:rPr>
              <w:t xml:space="preserve"> (Paragraf 23 VersAusglG) oder bei der Ergänzung nach Paragrafen 33 ff. VersAusglG.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BGH, Beschluss v. 20.01.2021 — XII ZB 264/19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 Bewertung des Vermögens und die Wahrscheinlichkeit, dass es zur Versorgung beiträgt, sind tatrichterliche Würdigung; gleichwohl ist eine substantiierte Auseinandersetzung mit dem Vermögensbestand erforderlich.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Konsequenzen für die Rechtsbeschwerde</w:t>
      </w:r>
    </w:p>
    <w:p>
      <w:pPr>
        <w:pStyle w:val="ListNumber"/>
      </w:pPr>
      <w:r>
        <w:rPr>
          <w:b/>
        </w:rPr>
        <w:t>Rechtsfehlerhafte Pauschalierung:</w:t>
      </w:r>
      <w:r>
        <w:t xml:space="preserve"> Der OLG-Beschluss vom 14.11.2022 schließt den Versorgungsausgleich pauschal aus, ohne sich mit der Frage zu befassen, warum die Pauschalannahme „6,9 Mio. € reichen für jede Altersversorgung" trägt. Es fehlen tatsachen- und rechtlich nachvollziehbare Erwägungen zu Substanz-, Liquiditäts- und Mietzinsausfallrisiken sowie zur Pflichtteils-Ergänzungslage.</w:t>
      </w:r>
    </w:p>
    <w:p>
      <w:pPr>
        <w:pStyle w:val="ListNumber"/>
      </w:pPr>
      <w:r>
        <w:rPr>
          <w:b/>
        </w:rPr>
        <w:t>Verkennung des Verhältnisses zwischen Paragraf 1374 Abs. 2 BGB und Paragraf 27 VersAusglG:</w:t>
      </w:r>
      <w:r>
        <w:t xml:space="preserve"> Eine Erbschaft, die im Zugewinn schon nicht als gemeinsam erwirtschaftet behandelt wird, darf den Versorgungsausgleich nicht versperren. Andernfalls würde der Erbe (privilegierter Anfangsvermögen-Posten) gleich doppelt zugunsten des nicht erbenden Ehegatten gewertet.</w:t>
      </w:r>
    </w:p>
    <w:p>
      <w:pPr>
        <w:pStyle w:val="ListNumber"/>
      </w:pPr>
      <w:r>
        <w:rPr>
          <w:b/>
        </w:rPr>
        <w:t>Übermaßverbot:</w:t>
      </w:r>
      <w:r>
        <w:t xml:space="preserve"> Selbst wenn ein Härtegrund anzunehmen wäre, ist nach BGH ZB 503/15 nicht der vollständige Ausschluss anzuordnen, sondern eine differenzierte Lösung.</w:t>
      </w:r>
    </w:p>
    <w:p>
      <w:pPr>
        <w:pStyle w:val="ListNumber"/>
      </w:pPr>
      <w:r>
        <w:rPr>
          <w:b/>
        </w:rPr>
        <w:t>Beweiswürdigung Paragraf 286 ZPO i. V. m. Paragraf 113 FamFG:</w:t>
      </w:r>
      <w:r>
        <w:t xml:space="preserve"> Die Beweiswürdigung des OLG zur behaupteten „gemeinsamen Vermögensplanung im Hinblick auf das Erbe" verkennt die Chronologie (Testament 2014 — 27 Jahre nach Eheschließung).</w:t>
      </w:r>
    </w:p>
    <w:p>
      <w:pPr>
        <w:pStyle w:val="ListNumber"/>
      </w:pPr>
      <w:r>
        <w:rPr>
          <w:b/>
        </w:rPr>
        <w:t>Verkennung der notariellen Vereinbarung Paragraf 8 (UR-Nr. 1417/2021/W):</w:t>
      </w:r>
      <w:r>
        <w:t xml:space="preserve"> Der dort ausdrücklich ausgesparte Versorgungsausgleich wird durch das OLG implizit als „mit der Pauschalsumme abgegolten" gewertet — ohne Paragraf 8 der Urkunde überhaupt zu erwähnen.</w:t>
      </w:r>
    </w:p>
    <w:p>
      <w:pPr>
        <w:pStyle w:val="Heading2"/>
      </w:pPr>
      <w:r>
        <w:rPr>
          <w:rFonts w:ascii="Times New Roman" w:hAnsi="Times New Roman"/>
        </w:rPr>
        <w:t>Zitierhinweis</w:t>
      </w:r>
    </w:p>
    <w:p>
      <w:pPr>
        <w:jc w:val="left"/>
      </w:pPr>
      <w:r>
        <w:t xml:space="preserve">Sämtliche oben angeführten Fundstellen sind vor jeder Schriftsatz-Verwendung </w:t>
      </w:r>
      <w:r>
        <w:rPr>
          <w:b/>
        </w:rPr>
        <w:t>einzeln</w:t>
      </w:r>
      <w:r>
        <w:t xml:space="preserve"> und mit Volltext zu verifizieren. Für die BGH-Rechtsbeschwerde gilt eine taggenaue Aktualitäts-Pflicht.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