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12 — Härteeinwand des Ehemanns — Sachverhaltsstruktur</w:t>
      </w:r>
    </w:p>
    <w:p>
      <w:pPr>
        <w:jc w:val="left"/>
      </w:pPr>
      <w:r>
        <w:t>Diese Aufstellung strukturiert den tatsächlichen Härteeinwand des Beschwerdeführers in fünf Argumentationsstränge. Für jeden Strang ist der bestrittene Tatsachenkern und die rechtliche Bewertung markiert.</w:t>
      </w:r>
    </w:p>
    <w:p>
      <w:pPr>
        <w:pStyle w:val="Heading2"/>
      </w:pPr>
      <w:r>
        <w:rPr>
          <w:rFonts w:ascii="Times New Roman" w:hAnsi="Times New Roman"/>
        </w:rPr>
        <w:t>Strang 1 — wirtschaftliches Ungleichgewicht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Element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Tatsachen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Vermögen Ehefrau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6,9 Mio. € (Verkehrswert)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Unstreitig hinsichtlich Bestand; streitig hinsichtlich der Bewertung (z. B. MFH Bamberg sanierungsbedürftig nach 2024-Heizungsgesetz, latente Steuerlast bei Veräußerung)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Vermögen Ehemann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192.000 € Reinvermögen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Unstreitig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Einkommen Ehefrau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2.945,42 € brutto Pension künftig, dazu Mieten 23.300 € / Monat brutto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Unstreitig zum Bestand, streitig zur Nettobetrachtung (Schuldzinsen, AfA, Instandhaltungsrücklage)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Einkommen Ehemann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4.500 € Nettoentnahme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Unstreitig</w:t>
            </w:r>
          </w:p>
        </w:tc>
      </w:tr>
    </w:tbl>
    <w:p>
      <w:pPr>
        <w:jc w:val="left"/>
      </w:pPr>
      <w:r>
        <w:t xml:space="preserve">Diese Größen begründen für sich nach BGH-Rechtsprechung </w:t>
      </w:r>
      <w:r>
        <w:rPr>
          <w:b/>
        </w:rPr>
        <w:t>keinen</w:t>
      </w:r>
      <w:r>
        <w:t xml:space="preserve"> Härtefall (BGH FamRZ 2011, 706 Rn. 19).</w:t>
      </w:r>
    </w:p>
    <w:p>
      <w:pPr>
        <w:pStyle w:val="Heading2"/>
      </w:pPr>
      <w:r>
        <w:rPr>
          <w:rFonts w:ascii="Times New Roman" w:hAnsi="Times New Roman"/>
        </w:rPr>
        <w:t>Strang 2 — geerbter Vermögensursprung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Element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Tatsachen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Erbfall 14.03.2019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Testament 14.07.2014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Privilegiertes Anfangsvermögen Paragraf 1374 Abs. 2 BGB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Inhalt Testament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„Vermögen soll Leonie zugutekommen, nicht ihrem Ehemann"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Eindeutiger Erblasserwille gegen einen gemeinsamen Zugriff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Erbschaftsteuer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1,95 Mio. € entrichtet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vom Ehemann mitgetragen</w:t>
            </w:r>
          </w:p>
        </w:tc>
      </w:tr>
    </w:tbl>
    <w:p>
      <w:pPr>
        <w:jc w:val="left"/>
      </w:pPr>
      <w:r>
        <w:t>Erbschaft = privilegiertes Anfangsvermögen = kein Vermögensanteil, der durch Ehe „erwirtschaftet" wurde. Eine Doppelnachteiligkeit (Ausschluss vom Zugewinn UND Ausschluss vom Versorgungsausgleich) ist rechtsdogmatisch problematisch (Aktenstück 11).</w:t>
      </w:r>
    </w:p>
    <w:p>
      <w:pPr>
        <w:pStyle w:val="Heading2"/>
      </w:pPr>
      <w:r>
        <w:rPr>
          <w:rFonts w:ascii="Times New Roman" w:hAnsi="Times New Roman"/>
        </w:rPr>
        <w:t>Strang 3 — angeblicher Verzicht des Ehemanns auf eigene Altersvorsorge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Element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Tatsachen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Behauptung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Ehemann habe in Ansehung des erwarteten Erbes auf private Altersvorsorge verzichtet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Bestritten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Beleg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schriftliche Vereinbarung, keine Korrespondenz; nur Behauptung 22.05.2022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Beweismittel: Anhörung Ehefrau 18.10.2022 — eine derartige Verständigung gab es nicht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Chronologie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Testament des Onkels datiert vom 14.07.2014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Vorher konnte niemand wissen, ob die Mandantin überhaupt erben würde</w:t>
            </w:r>
          </w:p>
        </w:tc>
      </w:tr>
    </w:tbl>
    <w:p>
      <w:pPr>
        <w:jc w:val="left"/>
      </w:pPr>
      <w:r>
        <w:t>Ergebnis: Die Behauptung ist unsubstantiiert und zeitlich nicht plausibel.</w:t>
      </w:r>
    </w:p>
    <w:p>
      <w:pPr>
        <w:pStyle w:val="Heading2"/>
      </w:pPr>
      <w:r>
        <w:rPr>
          <w:rFonts w:ascii="Times New Roman" w:hAnsi="Times New Roman"/>
        </w:rPr>
        <w:t>Strang 4 — Gesundheitliche Beeinträchtigung des Ehemanns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Element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Tatsachen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Erkrankung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Chronische Lumbalgie L4/L5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Vorgelegtes Attest Dr. Reisinger 02.04.2021 / 14.03.2022 (Orthopäde Erlangen)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Auswirkung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Reduktion auf 30 Wochenstunden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Eigene Erklärung des Ehemanns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Erwerbsfähigkeit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Praxis wird unverändert weitergeführt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Selbständige Praxistätigkeit setzt sich fort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Versorgung über BVZ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4.127,42 € monatlich (zum Stichtag Ehezeitende)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Härtegrund (BGH FamRZ 2018, 1418 — Krankheit nicht über Paragraf 27, sondern über Paragraf 23 oder Paragrafen 33 ff. zu adressieren)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Strang 5 — Notarielle Vereinbarung 11.11.2021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Element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Tatsachen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Inhalt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Pauschale 385.000 € Zugewinn, Immobilienübergang Schweinauer Hauptstr. 144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Paragraf 2, Paragraf 3 der Urkunde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Versorgungsausgleich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ausdrücklich ausgenommen, Paragraf 8 der Urkunde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OLG hat Paragraf 8 nicht erwähnt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Auslegung als „Gesamtpaket"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OLG: ja; BGH-rügefähig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Auslegungsfehler Paragraf 133 BGB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Gesamtbewertung</w:t>
      </w:r>
    </w:p>
    <w:p>
      <w:pPr>
        <w:jc w:val="left"/>
      </w:pPr>
      <w:r>
        <w:t xml:space="preserve">Keiner der Stränge trägt für sich den vollständigen Ausschluss des Versorgungsausgleichs. Die Kumulation der Stränge im OLG-Beschluss beruht auf einer </w:t>
      </w:r>
      <w:r>
        <w:rPr>
          <w:b/>
        </w:rPr>
        <w:t>rechtsfehlerhaften Gesamtschau</w:t>
      </w:r>
      <w:r>
        <w:t>, weil die Einzelstränge teilweise unzutreffend (Strang 3), teilweise unzulässig (Strang 4), teilweise verfehlt gewichtet (Strang 2 und 5) sind.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