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Gesundheitliche Situation Ehemann — Beleglage und Würdigung</w:t>
      </w:r>
    </w:p>
    <w:p>
      <w:pPr>
        <w:pStyle w:val="Heading2"/>
      </w:pPr>
      <w:r>
        <w:rPr>
          <w:rFonts w:ascii="Times New Roman" w:hAnsi="Times New Roman"/>
        </w:rPr>
        <w:t>Vorgelegte Atteste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Aussteller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 (zusammengefasst)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Beweiswert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02.04.2021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med. Helmut Reisinger, FA Orthopädie, Spardorferstr. 14, 91054 Erlangen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Chronische Lumbalgie mit Funktionsdefizit; Empfehlung Reduktion der Arbeitszeit auf 30 Std./Woche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privatärztliches Attest, kein gerichtliches Sachverständigengutachten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14.03.2022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Dr. med. Helmut Reisinger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Bestätigung der Diagnose; Hinweis auf möglichen Berufsausübungs-Wechsel ab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bestätigend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18.07.2022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Klinikum Erlangen, Schmerzambulanz (Dr. Lierke)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Multimodaler Therapieplan; aktuell mittlere Schmerzintensität (VAS 4 – 5/10)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sachlich, keine konkrete Berufsunfähigkeitsdiagnose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Wertung</w:t>
      </w:r>
    </w:p>
    <w:p>
      <w:pPr>
        <w:pStyle w:val="ListBullet"/>
      </w:pPr>
      <w:r>
        <w:t xml:space="preserve">Eine </w:t>
      </w:r>
      <w:r>
        <w:rPr>
          <w:b/>
        </w:rPr>
        <w:t>Berufsunfähigkeit</w:t>
      </w:r>
      <w:r>
        <w:t xml:space="preserve"> im Sinne der Privatversicherung oder eine </w:t>
      </w:r>
      <w:r>
        <w:rPr>
          <w:b/>
        </w:rPr>
        <w:t>Erwerbsminderung</w:t>
      </w:r>
      <w:r>
        <w:t xml:space="preserve"> im Sinne Paragraf 43 SGB VI ist nicht belegt.</w:t>
      </w:r>
    </w:p>
    <w:p>
      <w:pPr>
        <w:pStyle w:val="ListBullet"/>
      </w:pPr>
      <w:r>
        <w:t>Eine Berufsausübung der zahnärztlichen Tätigkeit ist mit Anpassungen (höhenverstellbarer Behandlungsstuhl, Lupenbrille, ergonomisches Sitzen) weiter möglich.</w:t>
      </w:r>
    </w:p>
    <w:p>
      <w:pPr>
        <w:pStyle w:val="ListBullet"/>
      </w:pPr>
      <w:r>
        <w:t>Die Praxis hat seit der Reduzierung auf 30 Std./Woche keine Umsatzeinbrüche; die Steuerunterlagen 2021 (Einnahmen-Überschuss-Rechnung Praxis Dr. Schäfer, Steuer-Nr. 217/281/40417) weisen ein Praxisergebnis von 137.420 € aus.</w:t>
      </w:r>
    </w:p>
    <w:p>
      <w:pPr>
        <w:pStyle w:val="ListBullet"/>
      </w:pPr>
      <w:r>
        <w:t>Der Antragsteller ist gegenwärtig 63 Jahre alt. Der Regel-Renteneintritt bei der BVZ ist mit Vollendung des 65. Lebensjahres (mit Abschlägen ab 60) möglich. Vor diesem Hintergrund ist die behauptete „existenzielle" Bedrohung durch den Versorgungsausgleich nicht belegbar.</w:t>
      </w:r>
    </w:p>
    <w:p>
      <w:pPr>
        <w:pStyle w:val="Heading2"/>
      </w:pPr>
      <w:r>
        <w:rPr>
          <w:rFonts w:ascii="Times New Roman" w:hAnsi="Times New Roman"/>
        </w:rPr>
        <w:t>Folge für das BGH-Verfahren</w:t>
      </w:r>
    </w:p>
    <w:p>
      <w:pPr>
        <w:jc w:val="left"/>
      </w:pPr>
      <w:r>
        <w:t>Die gesundheitliche Beeinträchtigung ist:</w:t>
      </w:r>
    </w:p>
    <w:p>
      <w:pPr>
        <w:pStyle w:val="ListNumber"/>
      </w:pPr>
      <w:r>
        <w:rPr>
          <w:b/>
        </w:rPr>
        <w:t>nicht über Paragraf 27 VersAusglG</w:t>
      </w:r>
      <w:r>
        <w:t>, sondern allenfalls über die Vorschriften des Wertausgleichs nach der Scheidung (Paragraf 23 VersAusglG) und der schuldrechtlichen Ausgleichsansprüche (Paragrafen 20 ff. VersAusglG, Paragrafen 23 ff. VersAusglG) zu adressieren.</w:t>
      </w:r>
    </w:p>
    <w:p>
      <w:pPr>
        <w:pStyle w:val="ListNumber"/>
      </w:pPr>
      <w:r>
        <w:rPr>
          <w:b/>
        </w:rPr>
        <w:t>kein Sondergrund</w:t>
      </w:r>
      <w:r>
        <w:t xml:space="preserve"> im Sinne der BGH-Rechtsprechung zur Härteklausel (BGH FamRZ 2018, 1418).</w:t>
      </w:r>
    </w:p>
    <w:p>
      <w:pPr>
        <w:pStyle w:val="ListNumber"/>
      </w:pPr>
      <w:r>
        <w:t xml:space="preserve">allenfalls </w:t>
      </w:r>
      <w:r>
        <w:rPr>
          <w:b/>
        </w:rPr>
        <w:t>anteilskorrigierend</w:t>
      </w:r>
      <w:r>
        <w:t xml:space="preserve">, nicht </w:t>
      </w:r>
      <w:r>
        <w:rPr>
          <w:b/>
        </w:rPr>
        <w:t>vollständig ausschließend</w:t>
      </w:r>
      <w:r>
        <w:t>.</w:t>
      </w:r>
    </w:p>
    <w:p>
      <w:pPr>
        <w:jc w:val="left"/>
      </w:pPr>
      <w:r>
        <w:t>Der OLG-Beschluss hat diese Differenzierung übergangen.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