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— Vermögensverwertung und Liquiditätsbetrachtung Ehefrau</w:t>
      </w:r>
    </w:p>
    <w:p>
      <w:pPr>
        <w:jc w:val="left"/>
      </w:pPr>
      <w:r>
        <w:t>Das OLG hat angenommen, das Erbe der Ehefrau decke ihren Altersversorgungsbedarf vollständig. Diese Annahme ist tatsachenfern und in der zweiten Instanz nicht hinreichend ausermittelt worden.</w:t>
      </w:r>
    </w:p>
    <w:p>
      <w:pPr>
        <w:pStyle w:val="Heading2"/>
      </w:pPr>
      <w:r>
        <w:rPr>
          <w:rFonts w:ascii="Times New Roman" w:hAnsi="Times New Roman"/>
        </w:rPr>
        <w:t>14.1 Substanzwert vs. Liquiditätswert</w:t>
      </w:r>
    </w:p>
    <w:p>
      <w:pPr>
        <w:jc w:val="left"/>
      </w:pPr>
      <w:r>
        <w:t>Verkehrswerte und Mieteinnahmen sind nicht gleich Versorgung. Eine sachgerechte Liquiditätsbetrachtung muss berücksichtigen: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Bruttowert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Liquiditäts- und Risikofaktoren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MFH Bamberg, Promenadestr. 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2,8 Mio. €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Mietraumsanierung 2024 nach Gebäudeenergiegesetz (GEG-Novelle); geschätzte Investitionssumme 380.000 €; Mietausfallrisiko während Sanierung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Gewerbeimmobilie Forchheim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1,5 Mio. €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Mietvertrag bis 30.09.2028; Anschlussvermietungsrisiko; Single-Tenant-Risiko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ETW München-Schwabing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950.000 €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Mieterhöhungsmöglichkeit gedeckelt (Mietpreisbremse Bayern); Eigentumswechsel nur unter erheblicher Maklerprovision und Spekulationssteuer (Spek-Frist 10 Jahre — bei Erbschaft mit Anlauf 2019 noch nicht abgelaufen)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Wertpapierdepot DZ Privatbank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1,2 Mio. €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Marktvolatilität; Dividendenausschüttungen nicht garantiert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Festgeld Sparkasse Bamberg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450.000 €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Inflationsrisiko; Negativzinsperioden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14.2 Pflichtteilsergänzungsrisiko</w:t>
      </w:r>
    </w:p>
    <w:p>
      <w:pPr>
        <w:jc w:val="left"/>
      </w:pPr>
      <w:r>
        <w:t xml:space="preserve">Der Bruder der Mandantin, Franz Winterstein (geb. 1957), hat am 16.06.2021 durch RA Dr. Friedhelm Wallner (Kanzlei Wallner &amp; Reuter, Bamberg) angekündigt, </w:t>
      </w:r>
      <w:r>
        <w:rPr>
          <w:b/>
        </w:rPr>
        <w:t>Pflichtteilsansprüche</w:t>
      </w:r>
      <w:r>
        <w:t xml:space="preserve"> geltend zu machen (Paragrafen 2303, 2325 BGB). Das Schreiben verlangt Auskunft über Schenkungen des Erblassers an die Mandantin und mögliche Pflichtteilsergänzungsansprüche von rechnerisch bis zu 1.628.810,29 €. Die Mandantin hat das streitig bestritten; eine gerichtliche Klärung ist noch nicht erfolgt.</w:t>
      </w:r>
    </w:p>
    <w:p>
      <w:pPr>
        <w:jc w:val="left"/>
      </w:pPr>
      <w:r>
        <w:t xml:space="preserve">Bei Erfolg des Anspruchs reduziert sich der Vermögenswert der Mandantin um bis zu </w:t>
      </w:r>
      <w:r>
        <w:rPr>
          <w:b/>
        </w:rPr>
        <w:t>23,6 %</w:t>
      </w:r>
      <w:r>
        <w:t>.</w:t>
      </w:r>
    </w:p>
    <w:p>
      <w:pPr>
        <w:pStyle w:val="Heading2"/>
      </w:pPr>
      <w:r>
        <w:rPr>
          <w:rFonts w:ascii="Times New Roman" w:hAnsi="Times New Roman"/>
        </w:rPr>
        <w:t>14.3 Steuerlast bei Verwertung</w:t>
      </w:r>
    </w:p>
    <w:p>
      <w:pPr>
        <w:pStyle w:val="ListBullet"/>
      </w:pPr>
      <w:r>
        <w:t>Bei Veräußerung der ETW München-Schwabing innerhalb der Spekulationsfrist Paragraf 23 EStG: Einkommensteuer auf Wertdifferenz Verkehrswert 30.04.2021 – Wert zum Veräußerungszeitpunkt; bei Spitzensteuersatz 42 % + Soli + ggf. Kirchensteuer.</w:t>
      </w:r>
    </w:p>
    <w:p>
      <w:pPr>
        <w:pStyle w:val="ListBullet"/>
      </w:pPr>
      <w:r>
        <w:t>Verkauf des MFH oder der Gewerbeimmobilie unterliegt Paragraf 23 EStG, bei Vermietung &gt; 10 Jahre steuerfrei.</w:t>
      </w:r>
    </w:p>
    <w:p>
      <w:pPr>
        <w:pStyle w:val="ListBullet"/>
      </w:pPr>
      <w:r>
        <w:t>Eine Verwertung des Wertpapierdepots erzeugt Abgeltungsteuer 25 % zuzüglich Soli/Kirchensteuer.</w:t>
      </w:r>
    </w:p>
    <w:p>
      <w:pPr>
        <w:pStyle w:val="Heading2"/>
      </w:pPr>
      <w:r>
        <w:rPr>
          <w:rFonts w:ascii="Times New Roman" w:hAnsi="Times New Roman"/>
        </w:rPr>
        <w:t>14.4 Faktische Bedarfslage der Mandantin</w:t>
      </w:r>
    </w:p>
    <w:p>
      <w:pPr>
        <w:jc w:val="left"/>
      </w:pPr>
      <w:r>
        <w:t>Die Mandantin</w:t>
      </w:r>
    </w:p>
    <w:p>
      <w:pPr>
        <w:pStyle w:val="ListBullet"/>
      </w:pPr>
      <w:r>
        <w:t>bezieht weiter Bezüge nach A 12 Stufe 11 (Teilzeit 18/28) bis Renteneintritt 30.06.2026;</w:t>
      </w:r>
    </w:p>
    <w:p>
      <w:pPr>
        <w:pStyle w:val="ListBullet"/>
      </w:pPr>
      <w:r>
        <w:t>danach erhält sie hypothetisch eine Pension (Vollzeitäquivalent) von 2.732,16 €; tatsächlich aufgrund Teilzeit reduzierte Pension von ca. 1.985 € (Stand 2026, Schätzung Landesamt für Finanzen Bayern);</w:t>
      </w:r>
    </w:p>
    <w:p>
      <w:pPr>
        <w:pStyle w:val="ListBullet"/>
      </w:pPr>
      <w:r>
        <w:t>hat einen weitere Pflegeversicherungsbedarf für ihre 86-jährige Mutter (Schenkungsverbot innerhalb der Familie schließt eine erbrechtliche Verlagerung aus);</w:t>
      </w:r>
    </w:p>
    <w:p>
      <w:pPr>
        <w:pStyle w:val="ListBullet"/>
      </w:pPr>
      <w:r>
        <w:t>haftet im Innenverhältnis für die Immobilie Schweinauer Hauptstr. 144 (Restvaluta 109.448,22 € sowie laufende Modernisierung).</w:t>
      </w:r>
    </w:p>
    <w:p>
      <w:pPr>
        <w:jc w:val="left"/>
      </w:pPr>
      <w:r>
        <w:t>Eine vollständige Liquidierung des ererbten Portfolios zur Aufrechterhaltung des Lebensstandards ist nicht realistisch geplant und steuerlich nicht zumutbar. Die Beamtenversorgung bleibt die zentrale Säule ihrer eigenen Altersversorgung.</w:t>
      </w:r>
    </w:p>
    <w:p>
      <w:pPr>
        <w:pStyle w:val="Heading2"/>
      </w:pPr>
      <w:r>
        <w:rPr>
          <w:rFonts w:ascii="Times New Roman" w:hAnsi="Times New Roman"/>
        </w:rPr>
        <w:t>14.5 Bedeutung für Paragraf 27 VersAusglG</w:t>
      </w:r>
    </w:p>
    <w:p>
      <w:pPr>
        <w:jc w:val="left"/>
      </w:pPr>
      <w:r>
        <w:t>Das OLG hat das Bruttovermögen 6,9 Mio. € mit dem Versorgungsbedarf gleichgesetzt. Diese Gleichsetzung ist:</w:t>
      </w:r>
    </w:p>
    <w:p>
      <w:pPr>
        <w:pStyle w:val="ListBullet"/>
      </w:pPr>
      <w:r>
        <w:rPr>
          <w:b/>
        </w:rPr>
        <w:t>tatsachenfern</w:t>
      </w:r>
      <w:r>
        <w:t>: Substanz ≠ Versorgung</w:t>
      </w:r>
    </w:p>
    <w:p>
      <w:pPr>
        <w:pStyle w:val="ListBullet"/>
      </w:pPr>
      <w:r>
        <w:rPr>
          <w:b/>
        </w:rPr>
        <w:t>rechtlich unhaltbar</w:t>
      </w:r>
      <w:r>
        <w:t>: Paragraf 27 VersAusglG verlangt eine differenzierte Würdigung, nicht eine pauschale „Reichtumsannahme" (BGH FamRZ 2014, 191)</w:t>
      </w:r>
    </w:p>
    <w:p>
      <w:pPr>
        <w:pStyle w:val="ListBullet"/>
      </w:pPr>
      <w:r>
        <w:rPr>
          <w:b/>
        </w:rPr>
        <w:t>prozessual unzureichend ermittelt</w:t>
      </w:r>
      <w:r>
        <w:t>: Das OLG hat zu Substanz-, Liquidations- und Pflichtteilsrisiken keinen Sachverständigen beauftragt und keinen Tatsachenvergleich vorgenommen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