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Strategie und Akteneinblick für die BGH-Korrespondenzkanzlei</w:t>
      </w:r>
    </w:p>
    <w:p>
      <w:pPr>
        <w:pStyle w:val="Heading2"/>
      </w:pPr>
      <w:r>
        <w:rPr>
          <w:rFonts w:ascii="Times New Roman" w:hAnsi="Times New Roman"/>
        </w:rPr>
        <w:t>15.1 Rolle der Korrespondenzkanzlei</w:t>
      </w:r>
    </w:p>
    <w:p>
      <w:pPr>
        <w:jc w:val="left"/>
      </w:pPr>
      <w:r>
        <w:t>Vor dem Bundesgerichtshof müssen die Beteiligten in Familiensachen (außer Unterhaltssachen, in denen Paragraf 78 ZPO ggf. anders gilt) durch einen beim Bundesgerichtshof zugelassenen Rechtsanwalt vertreten werden (Paragraf 114 Abs. 2 FamFG, Paragraf 78 Abs. 1 Satz 3 ZPO). Die ortsansässige Kanzlei Söll Rödelsteiner &amp; Partner mbB bleibt Korrespondenzanwalt der Mandantin und sorgt für die organisatorische und tatsächliche Betreuung. Die rechtliche Würdigung und der Vortrag vor dem BGH liegen in der Verantwortung des beauftragten BGH-Anwalts.</w:t>
      </w:r>
    </w:p>
    <w:p>
      <w:pPr>
        <w:pStyle w:val="Heading2"/>
      </w:pPr>
      <w:r>
        <w:rPr>
          <w:rFonts w:ascii="Times New Roman" w:hAnsi="Times New Roman"/>
        </w:rPr>
        <w:t>15.2 Akteneinblicks-Übergabe</w:t>
      </w:r>
    </w:p>
    <w:p>
      <w:pPr>
        <w:jc w:val="left"/>
      </w:pPr>
      <w:r>
        <w:t>Die folgenden Aktenstücke werden der BGH-Korrespondenzkanzlei in elektronischer Form übergeben:</w:t>
      </w:r>
    </w:p>
    <w:p>
      <w:pPr>
        <w:pStyle w:val="ListNumber"/>
      </w:pPr>
      <w:r>
        <w:t>dieses Aktenkonvolut (Markdown + PDF + xlsx + docx + jpg)</w:t>
      </w:r>
    </w:p>
    <w:p>
      <w:pPr>
        <w:pStyle w:val="ListNumber"/>
      </w:pPr>
      <w:r>
        <w:t>die vollständigen Gerichtsakten (eAkte beA, Übermittlung an BGH-Kanzlei via beA-Postfach)</w:t>
      </w:r>
    </w:p>
    <w:p>
      <w:pPr>
        <w:pStyle w:val="ListNumber"/>
      </w:pPr>
      <w:r>
        <w:t>Originalvollmacht (in Form einer durch die Mandantin neu unterschriebenen, auf den BGH-Anwalt lautenden Untervollmacht)</w:t>
      </w:r>
    </w:p>
    <w:p>
      <w:pPr>
        <w:pStyle w:val="Heading2"/>
      </w:pPr>
      <w:r>
        <w:rPr>
          <w:rFonts w:ascii="Times New Roman" w:hAnsi="Times New Roman"/>
        </w:rPr>
        <w:t>15.3 Strategische Ausrichtung</w:t>
      </w:r>
    </w:p>
    <w:p>
      <w:pPr>
        <w:jc w:val="left"/>
      </w:pPr>
      <w:r>
        <w:t>Die Korrespondenzkanzlei stellt der BGH-Kanzlei folgende Befunde zur Verfügung. Der BGH-Anwalt prüft eigenverantwortlich:</w:t>
      </w:r>
    </w:p>
    <w:p>
      <w:pPr>
        <w:pStyle w:val="ListNumber"/>
      </w:pPr>
      <w:r>
        <w:t>die Zulässigkeit der Rechtsbeschwerde nach Paragraf 70 FamFG;</w:t>
      </w:r>
    </w:p>
    <w:p>
      <w:pPr>
        <w:pStyle w:val="ListNumber"/>
      </w:pPr>
      <w:r>
        <w:t>das Vorliegen eines absoluten Rechtsbeschwerdegrundes (Paragraf 547 ZPO i. V. m. Paragraf 113 FamFG);</w:t>
      </w:r>
    </w:p>
    <w:p>
      <w:pPr>
        <w:pStyle w:val="ListNumber"/>
      </w:pPr>
      <w:r>
        <w:t>die Frage, ob die Rechtsbeschwerde aus den Aktenstücken 09, 10, 11, 12 und 14 hinreichend nähr- und tragfähig ist.</w:t>
      </w:r>
    </w:p>
    <w:p>
      <w:pPr>
        <w:jc w:val="left"/>
      </w:pPr>
      <w:r>
        <w:t>Der Übergabevermerk hält die Tatsachen- und Belegstränge fest. Die Erfolgsaussicht wird nach vollständiger Aktenübernahme und Prüfung der Rechtsbeschwerdegründe durch den beauftragten beim Bundesgerichtshof zugelassenen Rechtsanwalt beurteilt.</w:t>
      </w:r>
    </w:p>
    <w:p>
      <w:pPr>
        <w:pStyle w:val="Heading2"/>
      </w:pPr>
      <w:r>
        <w:rPr>
          <w:rFonts w:ascii="Times New Roman" w:hAnsi="Times New Roman"/>
        </w:rPr>
        <w:t>15.4 Themenkatalog für die Übergabe-Besprechung</w:t>
      </w:r>
    </w:p>
    <w:p>
      <w:pPr>
        <w:jc w:val="left"/>
      </w:pPr>
      <w:r>
        <w:t>Die Korrespondenzkanzlei schlägt der BGH-Kanzlei den folgenden Themenkatalog für die Übergabebesprechung vor:</w:t>
      </w:r>
    </w:p>
    <w:p>
      <w:pPr>
        <w:pStyle w:val="ListNumber"/>
      </w:pPr>
      <w:r>
        <w:t>Verkennung des Ausnahmecharakters von Paragraf 27 VersAusglG (Aktenstück 11 / 12)</w:t>
      </w:r>
    </w:p>
    <w:p>
      <w:pPr>
        <w:pStyle w:val="ListNumber"/>
      </w:pPr>
      <w:r>
        <w:t>Beweiswürdigungsmängel hinsichtlich des Vortrags des Beschwerdeführers zur Behauptung „gemeinsame Vermögensplanung" (Aktenstück 09 / 10, Strang 3)</w:t>
      </w:r>
    </w:p>
    <w:p>
      <w:pPr>
        <w:pStyle w:val="ListNumber"/>
      </w:pPr>
      <w:r>
        <w:t>Verkennung des Paragrafen 8 der notariellen Vereinbarung 11.11.2021 (Aktenstück 05)</w:t>
      </w:r>
    </w:p>
    <w:p>
      <w:pPr>
        <w:pStyle w:val="ListNumber"/>
      </w:pPr>
      <w:r>
        <w:t>Pauschale Verwertbarkeitsannahme statt Tatsachenermittlung zu Liquiditäts- und Substanzrisiken (Aktenstück 14)</w:t>
      </w:r>
    </w:p>
    <w:p>
      <w:pPr>
        <w:pStyle w:val="ListNumber"/>
      </w:pPr>
      <w:r>
        <w:t>Vermögensherkunft Erbschaft (Aktenstück 04, Paragraf 1374 Abs. 2 BGB-Privilegierung)</w:t>
      </w:r>
    </w:p>
    <w:p>
      <w:pPr>
        <w:pStyle w:val="ListNumber"/>
      </w:pPr>
      <w:r>
        <w:t>Übermaßverbot: Vollständiger Ausschluss als verhältnismäßiger Schritt (Aktenstück 11)</w:t>
      </w:r>
    </w:p>
    <w:p>
      <w:pPr>
        <w:pStyle w:val="Heading2"/>
      </w:pPr>
      <w:r>
        <w:rPr>
          <w:rFonts w:ascii="Times New Roman" w:hAnsi="Times New Roman"/>
        </w:rPr>
        <w:t>15.5 Mandatszuschnitt</w:t>
      </w:r>
    </w:p>
    <w:p>
      <w:pPr>
        <w:pStyle w:val="ListBullet"/>
      </w:pPr>
      <w:r>
        <w:rPr>
          <w:b/>
        </w:rPr>
        <w:t>Söll Rödelsteiner &amp; Partner mbB</w:t>
      </w:r>
      <w:r>
        <w:t xml:space="preserve"> bleibt Verfahrensbevollmächtigte in allen Tatsachenfragen und für die Mandantenbetreuung; übergibt die Korrespondenz an die BGH-Kanzlei.</w:t>
      </w:r>
    </w:p>
    <w:p>
      <w:pPr>
        <w:pStyle w:val="ListBullet"/>
      </w:pPr>
      <w:r>
        <w:t xml:space="preserve">Die </w:t>
      </w:r>
      <w:r>
        <w:rPr>
          <w:b/>
        </w:rPr>
        <w:t>BGH-Kanzlei</w:t>
      </w:r>
      <w:r>
        <w:t xml:space="preserve"> übernimmt die Vertretung vor dem BGH. Honorarvereinbarung: gesonderter Vertrag zwischen Mandantin und BGH-Kanzlei; Vorschussregelung nach Abstimmung.</w:t>
      </w:r>
    </w:p>
    <w:p>
      <w:pPr>
        <w:pStyle w:val="ListBullet"/>
      </w:pPr>
      <w:r>
        <w:t>Eine etwaige außergerichtliche Vergleichsführung mit der Gegenseite obliegt der Korrespondenzkanzlei, in Abstimmung mit der BGH-Kanzlei.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