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Vermerk Beauftragung BGH-Anwalt</w:t>
      </w:r>
    </w:p>
    <w:p>
      <w:pPr>
        <w:jc w:val="left"/>
      </w:pPr>
      <w:r>
        <w:rPr>
          <w:b/>
        </w:rPr>
        <w:t>Bearbeiterin:</w:t>
      </w:r>
      <w:r>
        <w:t xml:space="preserve"> Rechtsanwältin Helene Söll-Rödelsteiner</w:t>
      </w:r>
    </w:p>
    <w:p>
      <w:pPr>
        <w:jc w:val="left"/>
      </w:pPr>
      <w:r>
        <w:rPr>
          <w:b/>
        </w:rPr>
        <w:t>Datum:</w:t>
      </w:r>
      <w:r>
        <w:t xml:space="preserve"> 22.11.2022</w:t>
      </w:r>
    </w:p>
    <w:p>
      <w:pPr>
        <w:jc w:val="left"/>
      </w:pPr>
      <w:r>
        <w:rPr>
          <w:b/>
        </w:rPr>
        <w:t>Aktenzeichen:</w:t>
      </w:r>
      <w:r>
        <w:t xml:space="preserve"> 0918-2021/VA</w:t>
      </w:r>
    </w:p>
    <w:p>
      <w:pPr>
        <w:pStyle w:val="Heading2"/>
      </w:pPr>
      <w:r>
        <w:rPr>
          <w:rFonts w:ascii="Times New Roman" w:hAnsi="Times New Roman"/>
        </w:rPr>
        <w:t>16.1 Ausgangslage</w:t>
      </w:r>
    </w:p>
    <w:p>
      <w:pPr>
        <w:jc w:val="left"/>
      </w:pPr>
      <w:r>
        <w:t>Mit Beschluss des OLG Nürnberg vom 14.11.2022, Az. 7 UF 743/22, zugestellt am 18.11.2022, ist die Beschwerde des Antragstellers erfolgreich gewesen. Das OLG hat die Rechtsbeschwerde zugelassen (Paragraf 70 Abs. 2 FamFG). Die Rechtsbeschwerdefrist (Paragraf 71 Abs. 1 FamFG: ein Monat) endet am 19.12.2022. Die Mandantin hat noch am Zustellungstag telefonisch um Einlegung der Rechtsbeschwerde gebeten und die Beauftragung eines beim BGH zugelassenen Rechtsanwalts erbeten.</w:t>
      </w:r>
    </w:p>
    <w:p>
      <w:pPr>
        <w:pStyle w:val="Heading2"/>
      </w:pPr>
      <w:r>
        <w:rPr>
          <w:rFonts w:ascii="Times New Roman" w:hAnsi="Times New Roman"/>
        </w:rPr>
        <w:t>16.2 Auswahlkriterien</w:t>
      </w:r>
    </w:p>
    <w:p>
      <w:pPr>
        <w:jc w:val="left"/>
      </w:pPr>
      <w:r>
        <w:t>Die Korrespondenzkanzlei hat folgende Kriterien festgelegt:</w:t>
      </w:r>
    </w:p>
    <w:p>
      <w:pPr>
        <w:pStyle w:val="ListBullet"/>
      </w:pPr>
      <w:r>
        <w:t>Zulassung beim Bundesgerichtshof (Paragraf 1 BRAO);</w:t>
      </w:r>
    </w:p>
    <w:p>
      <w:pPr>
        <w:pStyle w:val="ListBullet"/>
      </w:pPr>
      <w:r>
        <w:t>mehrjährige Erfahrung mit Familiensachen und Versorgungsausgleich;</w:t>
      </w:r>
    </w:p>
    <w:p>
      <w:pPr>
        <w:pStyle w:val="ListBullet"/>
      </w:pPr>
      <w:r>
        <w:t>Verfügbarkeit für eine Übergabebesprechung binnen sechs Werktagen;</w:t>
      </w:r>
    </w:p>
    <w:p>
      <w:pPr>
        <w:pStyle w:val="ListBullet"/>
      </w:pPr>
      <w:r>
        <w:t>Konfliktcheck (keine vorherige Mandatierung durch RA Vorndran oder durch den Antragsteller / Praxis Dr. Schäfer);</w:t>
      </w:r>
    </w:p>
    <w:p>
      <w:pPr>
        <w:pStyle w:val="ListBullet"/>
      </w:pPr>
      <w:r>
        <w:t>Honorarvorstellungen marktüblich, Vorschuss nicht &gt; 12.500 € netto.</w:t>
      </w:r>
    </w:p>
    <w:p>
      <w:pPr>
        <w:pStyle w:val="Heading2"/>
      </w:pPr>
      <w:r>
        <w:rPr>
          <w:rFonts w:ascii="Times New Roman" w:hAnsi="Times New Roman"/>
        </w:rPr>
        <w:t>16.3 Drei kontaktierte Kanzleien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Erste Reaktion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Susanne Ehrlinger &amp; Partner Rechtsanwälte beim Bundesgerichtshof, Karlsruhe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telefonisch 22.11.2022 14:30 Uhr; Mandatsannahme grundsätzlich möglich; Konflikt-Check zugesagt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23.11.2022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Wisseburg &amp; Eschelbeck Rechtsanwälte beim BGH, Karlsruhe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 E-Mail 22.11.2022 15:00 Uhr; Rücksprache erforderlich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Wolfgang Lammers Rechtsanwalt beim BGH, Karlsruhe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 E-Mail 22.11.2022 16:00 Uhr; Anfrage Honorarrahmen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abgelehnt 23.11.2022 (Auslastung)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16.4 Mandatierung</w:t>
      </w:r>
    </w:p>
    <w:p>
      <w:pPr>
        <w:jc w:val="left"/>
      </w:pPr>
      <w:r>
        <w:t xml:space="preserve">Mit Schreiben vom 24.11.2022 (Aktenstück 17) hat die Korrespondenzkanzlei der Kanzlei </w:t>
      </w:r>
      <w:r>
        <w:rPr>
          <w:b/>
        </w:rPr>
        <w:t>Dr. Susanne Ehrlinger &amp; Partner Rechtsanwälte beim Bundesgerichtshof</w:t>
      </w:r>
      <w:r>
        <w:t xml:space="preserve">, Reinhold-Frank-Straße 24, 76133 Karlsruhe, das Mandat angetragen. Frau Dr. Ehrlinger hat die Mandatsübernahme mit E-Mail vom 24.11.2022, 17:42 Uhr bestätigt; Untervollmacht wurde am 25.11.2022 von der Mandantin unterzeichnet (Vollmachts-Original in </w:t>
      </w:r>
      <w:r>
        <w:t>docx/Vollmacht_BGH_Ehrlinger_25_11_2022.docx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16.5 Übergabe der Akten</w:t>
      </w:r>
    </w:p>
    <w:p>
      <w:pPr>
        <w:jc w:val="left"/>
      </w:pPr>
      <w:r>
        <w:t>Die Korrespondenzkanzlei hat am 28.11.2022 das vollständige Aktenkonvolut über das beA-Postfach an Frau Dr. Ehrlinger übermittelt:</w:t>
      </w:r>
    </w:p>
    <w:p>
      <w:pPr>
        <w:pStyle w:val="ListBullet"/>
      </w:pPr>
      <w:r>
        <w:t>vorliegendes Aktenkonvolut (PDF + ZIP)</w:t>
      </w:r>
    </w:p>
    <w:p>
      <w:pPr>
        <w:pStyle w:val="ListBullet"/>
      </w:pPr>
      <w:r>
        <w:t>die elektronischen Verfahrensakten AG Nürnberg-Fürth (110 F 2418/21) und OLG Nürnberg (7 UF 743/22), bezogen vom OLG-Geschäftsstellen am 25.11.2022</w:t>
      </w:r>
    </w:p>
    <w:p>
      <w:pPr>
        <w:pStyle w:val="ListBullet"/>
      </w:pPr>
      <w:r>
        <w:t>die wirtschaftlichen Auskünfte aller Versorgungsträger (Originalauskünfte als PDF)</w:t>
      </w:r>
    </w:p>
    <w:p>
      <w:pPr>
        <w:pStyle w:val="ListBullet"/>
      </w:pPr>
      <w:r>
        <w:t>die notarielle Vereinbarung vom 11.11.2021 (beglaubigte Abschrift)</w:t>
      </w:r>
    </w:p>
    <w:p>
      <w:pPr>
        <w:pStyle w:val="Heading2"/>
      </w:pPr>
      <w:r>
        <w:rPr>
          <w:rFonts w:ascii="Times New Roman" w:hAnsi="Times New Roman"/>
        </w:rPr>
        <w:t>16.6 Hinweise an die BGH-Kanzlei</w:t>
      </w:r>
    </w:p>
    <w:p>
      <w:pPr>
        <w:pStyle w:val="ListBullet"/>
      </w:pPr>
      <w:r>
        <w:t xml:space="preserve">Diese Akte enthält </w:t>
      </w:r>
      <w:r>
        <w:rPr>
          <w:b/>
        </w:rPr>
        <w:t>keine Aussagen zur Erfolgswahrscheinlichkeit</w:t>
      </w:r>
      <w:r>
        <w:t xml:space="preserve"> der Rechtsbeschwerde.</w:t>
      </w:r>
    </w:p>
    <w:p>
      <w:pPr>
        <w:pStyle w:val="ListBullet"/>
      </w:pPr>
      <w:r>
        <w:t>Die rechtliche Würdigung ist Aufgabe der BGH-Kanzlei.</w:t>
      </w:r>
    </w:p>
    <w:p>
      <w:pPr>
        <w:pStyle w:val="ListBullet"/>
      </w:pPr>
      <w:r>
        <w:t>Bei der Übergabe-Besprechung sind insbesondere die in Aktenstück 11 und 15 aufgeführten Punkte zu vertiefen.</w:t>
      </w:r>
    </w:p>
    <w:p>
      <w:pPr>
        <w:pStyle w:val="ListBullet"/>
      </w:pPr>
      <w:r>
        <w:t>Die Korrespondenzkanzlei steht für Rückfragen jederzeit zur Verfügung.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