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Vorndran und Brennstetter Rechtsanwälte mbB</w:t>
      </w:r>
    </w:p>
    <w:p>
      <w:pPr>
        <w:jc w:val="center"/>
      </w:pPr>
      <w:r>
        <w:t>Hauptstr. 41, 91054 Erlangen</w:t>
      </w:r>
    </w:p>
    <w:p>
      <w:r/>
    </w:p>
    <w:p>
      <w:r>
        <w:rPr>
          <w:b/>
        </w:rPr>
        <w:t>Oberlandesgericht Nürnberg</w:t>
      </w:r>
    </w:p>
    <w:p>
      <w:r>
        <w:t>7. Familiensenat</w:t>
      </w:r>
    </w:p>
    <w:p>
      <w:r>
        <w:t>Fürther Str. 110</w:t>
      </w:r>
    </w:p>
    <w:p>
      <w:r>
        <w:t>90429 Nürnberg</w:t>
      </w:r>
    </w:p>
    <w:p>
      <w:r/>
    </w:p>
    <w:p>
      <w:r>
        <w:t>Erlangen, 22.05.2022</w:t>
      </w:r>
    </w:p>
    <w:p>
      <w:r/>
    </w:p>
    <w:p>
      <w:r>
        <w:rPr>
          <w:b/>
        </w:rPr>
        <w:t>Az. 7 UF 743/22 (AG Nürnberg-Fürth 110 F 2418/21)</w:t>
      </w:r>
    </w:p>
    <w:p>
      <w:r>
        <w:t>In der Familiensache Dr. Maximilian Schäfer ./. Leonie Schäfer</w:t>
      </w:r>
    </w:p>
    <w:p>
      <w:r/>
    </w:p>
    <w:p>
      <w:pPr>
        <w:pStyle w:val="Heading1"/>
      </w:pPr>
      <w:r>
        <w:rPr>
          <w:rFonts w:ascii="Calibri" w:hAnsi="Calibri"/>
        </w:rPr>
        <w:t>Beschwerdebegründung</w:t>
      </w:r>
    </w:p>
    <w:p>
      <w:r>
        <w:t>In der vorbezeichneten Familiensache wird namens und im Auftrag des Antragstellers und Beschwerdeführers Beschwerdebegründung wie folgt eingelegt.</w:t>
      </w:r>
    </w:p>
    <w:p>
      <w:r/>
    </w:p>
    <w:p>
      <w:pPr>
        <w:pStyle w:val="Heading2"/>
      </w:pPr>
      <w:r>
        <w:rPr>
          <w:rFonts w:ascii="Calibri" w:hAnsi="Calibri"/>
        </w:rPr>
        <w:t>1. Anträge</w:t>
      </w:r>
    </w:p>
    <w:p>
      <w:r>
        <w:t>Wir beantragen,</w:t>
      </w:r>
    </w:p>
    <w:p>
      <w:r>
        <w:t>1. den Beschluss des Amtsgerichts Nürnberg - Familiengericht - vom 28.02.2022, Az. 110 F 2418/21, in den Ziffern 2 und 3 abzuändern;</w:t>
      </w:r>
    </w:p>
    <w:p>
      <w:r>
        <w:t>2. den Versorgungsausgleich nach Paragraf 27 VersAusglG vollständig auszuschließen;</w:t>
      </w:r>
    </w:p>
    <w:p>
      <w:r>
        <w:t>3. hilfsweise: den Versorgungsausgleich auf die Hälfte zu reduzieren;</w:t>
      </w:r>
    </w:p>
    <w:p>
      <w:r>
        <w:t>4. die Kosten des Verfahrens der Antragsgegnerin aufzuerlegen.</w:t>
      </w:r>
    </w:p>
    <w:p>
      <w:r/>
    </w:p>
    <w:p>
      <w:pPr>
        <w:pStyle w:val="Heading2"/>
      </w:pPr>
      <w:r>
        <w:rPr>
          <w:rFonts w:ascii="Calibri" w:hAnsi="Calibri"/>
        </w:rPr>
        <w:t>2. Sachverhalt</w:t>
      </w:r>
    </w:p>
    <w:p>
      <w:r>
        <w:t>2.1 Vermögensverhältnisse der Antragsgegnerin</w:t>
      </w:r>
    </w:p>
    <w:p>
      <w:r>
        <w:t>Die Antragsgegnerin verfügt seit der Erbschaft nach ihrem Onkel Theodor Winterstein 14.03.2019 über Reinvermögen von ca. 6,9 Mio. EUR. Die Mieteinnahmen aus den geerbten drei Immobilien betragen brutto 23.300 EUR monatlich. Zusammen mit den Dividenden aus dem Wertpapierdepot ergibt sich ein laufender Brutto-Einkommensstrom von über 28.000 EUR monatlich.</w:t>
      </w:r>
    </w:p>
    <w:p>
      <w:r>
        <w:t>Beweis: Vorlage des Erbschaftsteuerbescheids des Finanzamts Bamberg vom 05.03.2020, Steuernummer 207/281/40918; Vorlage der Mietzahlungsübersicht der Hausverwaltung Pirsch und März GmbH Bamberg; Vorlage der Depotauszüge der DZ Privatbank Stand 31.12.2021.</w:t>
      </w:r>
    </w:p>
    <w:p>
      <w:r/>
    </w:p>
    <w:p>
      <w:r>
        <w:t>2.2 Vermögensverhältnisse des Antragstellers</w:t>
      </w:r>
    </w:p>
    <w:p>
      <w:r>
        <w:t>Der Antragsteller verfügt über Reinvermögen von rund 195.000 EUR. Seine Praxis hat 2021 einen Jahresgewinn von 211.000 EUR vor Steuern ausgewiesen, mit fallender Tendenz. Im Februar 2020 ist beim Antragsteller eine schwere Coxarthrose diagnostiziert worden, die eine Praxisaufgabe in den nächsten 5-7 Jahren erfordert.</w:t>
      </w:r>
    </w:p>
    <w:p>
      <w:r>
        <w:t>Beweis: Bilanz Praxis 2018-2021 (Steuerberater Berthold Faulhammer); ICD-10 Diagnose M16.0 Coxarthrose Universitätsklinik Erlangen Orthopädie Dr. Stadlhuber 18.02.2020; Sachverständigengutachten Praxiswert.</w:t>
      </w:r>
    </w:p>
    <w:p>
      <w:r/>
    </w:p>
    <w:p>
      <w:r>
        <w:t>2.3 Gemeinsame Vermögensplanung</w:t>
      </w:r>
    </w:p>
    <w:p>
      <w:r>
        <w:t>Die Beteiligten haben über Jahrzehnte eine gemeinsame Lebensplanung verfolgt: Der Antragsteller hat in der ersten Ehehälfte (1987-2003) den größten Teil der Familienlast getragen; die Antragsgegnerin hat den Aufbau der Praxis durch Steuererklärungen, Praxis-Buchführung und Akquise persönlich unterstützt.</w:t>
      </w:r>
    </w:p>
    <w:p>
      <w:r>
        <w:t>Beweis: Aussage der Antragsgegnerin; Vernehmung von Steuerberater Faulhammer; Vorlage der Praxis-Buchführungsunterlagen 1992-2004.</w:t>
      </w:r>
    </w:p>
    <w:p>
      <w:r/>
    </w:p>
    <w:p>
      <w:pPr>
        <w:pStyle w:val="Heading2"/>
      </w:pPr>
      <w:r>
        <w:rPr>
          <w:rFonts w:ascii="Calibri" w:hAnsi="Calibri"/>
        </w:rPr>
        <w:t>3. Rechtliche Würdigung</w:t>
      </w:r>
    </w:p>
    <w:p>
      <w:r>
        <w:t>Es liegt grobe Unbilligkeit i. S. d. Paragraf 27 VersAusglG vor. Paragraf 27 VersAusglG ist nach gefestigter Rechtsprechung des BGH (BGH FamRZ 2018, 1746; BGH FamRZ 2014, 1614; BGH FamRZ 2012, 1545) zwar eng auszulegen, aber gerade in Vermögenskonstellationen einschlägig, in denen die ausgleichsberechtigte Person bereits lebenslang abgesichert ist und die ausgleichspflichtige Person bei vollständiger Durchführung in ihrer Altersversorgung erheblich beeinträchtigt würde.</w:t>
      </w:r>
    </w:p>
    <w:p>
      <w:r/>
    </w:p>
    <w:p>
      <w:r>
        <w:t>Dies ist hier der Fall:</w:t>
      </w:r>
    </w:p>
    <w:p>
      <w:r>
        <w:t>1. Die Antragsgegnerin ist durch das ererbte Vermögen wirtschaftlich vollständig abgesichert.</w:t>
      </w:r>
    </w:p>
    <w:p>
      <w:r>
        <w:t>2. Der Antragsteller ist auf seine Anrechte bei der Bayerischen Ärzteversorgung als Hauptsäule seiner Alterssicherung angewiesen.</w:t>
      </w:r>
    </w:p>
    <w:p>
      <w:r>
        <w:t>3. Die Halbierung der Bayerischen-Ärzteversorgung-Rente von 4.127 EUR auf rund 2.063 EUR würde die Existenzgrundlage des Antragstellers in der Praxis-Abschlussphase und in der Rentenphase erheblich gefährden.</w:t>
      </w:r>
    </w:p>
    <w:p>
      <w:r>
        <w:t>4. Paragraf 8 der notariellen Vereinbarung 11.11.2021 hindert die Anwendung des Paragrafen 27 nicht. Selbst wenn man annehmen wollte, dass der dort vereinbarte pauschale Zugewinnausgleich (385.000 EUR) bereits eine Berücksichtigung der Vermögensverhältnisse darstellt, schließt dies eine zusätzliche Korrektur über Paragraf 27 VersAusglG nicht aus.</w:t>
      </w:r>
    </w:p>
    <w:p>
      <w:r/>
    </w:p>
    <w:p>
      <w:r>
        <w:t>Mit kollegialen Grüßen</w:t>
      </w:r>
    </w:p>
    <w:p>
      <w:r/>
    </w:p>
    <w:p>
      <w:r>
        <w:t>Andreas Vorndran</w:t>
      </w:r>
    </w:p>
    <w:p>
      <w:r>
        <w:t>Rechtsanwalt, Fachanwalt für Familienrecht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