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Nürnberg - 7. Familiensenat</w:t>
      </w:r>
    </w:p>
    <w:p>
      <w:pPr>
        <w:jc w:val="center"/>
      </w:pPr>
      <w:r>
        <w:t>Az. 7 UF 743/22</w:t>
      </w:r>
    </w:p>
    <w:p>
      <w:r/>
    </w:p>
    <w:p>
      <w:pPr>
        <w:pStyle w:val="Heading1"/>
      </w:pPr>
      <w:r>
        <w:rPr>
          <w:rFonts w:ascii="Calibri" w:hAnsi="Calibri"/>
        </w:rPr>
        <w:t>Beschluss</w:t>
      </w:r>
    </w:p>
    <w:p>
      <w:r>
        <w:t>In der Familiensache</w:t>
      </w:r>
    </w:p>
    <w:p>
      <w:r/>
    </w:p>
    <w:p>
      <w:r>
        <w:rPr>
          <w:b/>
        </w:rPr>
        <w:t>Dr. Maximilian Schäfer, Schillerstr. 14, 91054 Erlangen,</w:t>
      </w:r>
    </w:p>
    <w:p>
      <w:r>
        <w:t>- Antragsteller und Beschwerdeführer -</w:t>
      </w:r>
    </w:p>
    <w:p>
      <w:r>
        <w:t>Verfahrensbevollmächtigter: Rechtsanwalt Andreas Vorndran, Erlangen</w:t>
      </w:r>
    </w:p>
    <w:p>
      <w:r/>
    </w:p>
    <w:p>
      <w:r>
        <w:t>gegen</w:t>
      </w:r>
    </w:p>
    <w:p>
      <w:r/>
    </w:p>
    <w:p>
      <w:r>
        <w:rPr>
          <w:b/>
        </w:rPr>
        <w:t>Leonie Schäfer geb. Winterstein, Schweinauer Hauptstr. 144, 90441 Nürnberg,</w:t>
      </w:r>
    </w:p>
    <w:p>
      <w:r>
        <w:t>- Antragsgegnerin und Beschwerdegegnerin -</w:t>
      </w:r>
    </w:p>
    <w:p>
      <w:r>
        <w:t>Verfahrensbevollmächtigte: Rechtsanwältin Helene Söll-Rödelsteiner, Nürnberg</w:t>
      </w:r>
    </w:p>
    <w:p>
      <w:r/>
    </w:p>
    <w:p>
      <w:r>
        <w:t>wegen Versorgungsausgleichs (Folgesache der Familiensache 110 F 2418/21 AG Nürnberg-Fürth)</w:t>
      </w:r>
    </w:p>
    <w:p>
      <w:r/>
    </w:p>
    <w:p>
      <w:r>
        <w:t>hat der 7. Familiensenat des Oberlandesgerichts Nürnberg durch den Vorsitzenden Richter am Oberlandesgericht Dr. Hans-Werner Pirckheimer, die Richterin am Oberlandesgericht Christina Lampertshausen-Wittmann und den Richter am Oberlandesgericht Dr. Friedhelm Buchberger auf die mündliche Verhandlung vom 18.10.2022</w:t>
      </w:r>
    </w:p>
    <w:p>
      <w:r/>
    </w:p>
    <w:p>
      <w:r>
        <w:rPr>
          <w:b/>
        </w:rPr>
        <w:t>am 14. November 2022 beschlossen:</w:t>
      </w:r>
    </w:p>
    <w:p>
      <w:r/>
    </w:p>
    <w:p>
      <w:pPr>
        <w:pStyle w:val="Heading2"/>
      </w:pPr>
      <w:r>
        <w:rPr>
          <w:rFonts w:ascii="Calibri" w:hAnsi="Calibri"/>
        </w:rPr>
        <w:t>Tenor</w:t>
      </w:r>
    </w:p>
    <w:p>
      <w:r>
        <w:t>1. Auf die Beschwerde des Antragstellers wird der Beschluss des Amtsgerichts Nürnberg - Familiengericht - vom 28.02.2022, Az. 110 F 2418/21, in Ziffer 2 und Ziffer 3 abgeändert und wie folgt neu gefasst:</w:t>
      </w:r>
    </w:p>
    <w:p>
      <w:r/>
    </w:p>
    <w:p>
      <w:r>
        <w:t xml:space="preserve">  'Ein Versorgungsausgleich findet nach Paragraf 27 VersAusglG nicht statt.'</w:t>
      </w:r>
    </w:p>
    <w:p>
      <w:r/>
    </w:p>
    <w:p>
      <w:r>
        <w:t>2. Die Gerichtskosten des Beschwerdeverfahrens trägt die Antragsgegnerin; außergerichtliche Kosten werden nicht erstattet.</w:t>
      </w:r>
    </w:p>
    <w:p>
      <w:r/>
    </w:p>
    <w:p>
      <w:r>
        <w:t>3. Der Verfahrenswert für das Beschwerdeverfahren wird auf 9.000 EUR festgesetzt.</w:t>
      </w:r>
    </w:p>
    <w:p>
      <w:r/>
    </w:p>
    <w:p>
      <w:r>
        <w:t>4. Die Rechtsbeschwerde wird zugelassen.</w:t>
      </w:r>
    </w:p>
    <w:p>
      <w:r/>
    </w:p>
    <w:p>
      <w:pPr>
        <w:pStyle w:val="Heading2"/>
      </w:pPr>
      <w:r>
        <w:rPr>
          <w:rFonts w:ascii="Calibri" w:hAnsi="Calibri"/>
        </w:rPr>
        <w:t>Gründe</w:t>
      </w:r>
    </w:p>
    <w:p>
      <w:r>
        <w:t>1. Beschwerdegegenstand und unstreitige Anrechte</w:t>
      </w:r>
    </w:p>
    <w:p>
      <w:r>
        <w:t>Die zulässige Beschwerde ist begründet.</w:t>
      </w:r>
    </w:p>
    <w:p>
      <w:r>
        <w:t>Zwischen den Beteiligten ist allein die Frage streitig, ob der Versorgungsausgleich nach Paragraf 27 VersAusglG ganz oder teilweise auszuschließen ist. Die ehezeitlichen Anrechte sind durch die Auskünfte der Versorgungsträger geklärt; gegen die Höhe der Anrechte werden Einwendungen nicht erhoben.</w:t>
      </w:r>
    </w:p>
    <w:p>
      <w:r/>
    </w:p>
    <w:p>
      <w:r>
        <w:t>2. Beweisaufnahme im Beschwerdeverfahren</w:t>
      </w:r>
    </w:p>
    <w:p>
      <w:r>
        <w:t>Der Senat hat im Termin zur mündlichen Verhandlung vom 18.10.2022 die Beteiligten persönlich angehört und ein Sachverständigengutachten zur Frage der kurzfristigen Verwertbarkeit der Immobilien der Antragsgegnerin sowie der Belastung der Praxis des Antragstellers im Hinblick auf die Versorgungsanrechte erhoben.</w:t>
      </w:r>
    </w:p>
    <w:p>
      <w:r/>
    </w:p>
    <w:p>
      <w:r>
        <w:t>3. Grobe Unbilligkeit nach Paragraf 27 VersAusglG</w:t>
      </w:r>
    </w:p>
    <w:p>
      <w:r>
        <w:t>Der Senat ist der Auffassung, dass im vorliegenden Einzelfall die Durchführung des Versorgungsausgleichs grob unbillig i. S. d. Paragraf 27 VersAusglG wäre.</w:t>
      </w:r>
    </w:p>
    <w:p>
      <w:r/>
    </w:p>
    <w:p>
      <w:r>
        <w:t>3.1 Vermögenslage der Antragsgegnerin</w:t>
      </w:r>
    </w:p>
    <w:p>
      <w:r>
        <w:t>Die Antragsgegnerin verfügt aus der Erbschaft nach ihrem Onkel Theodor Winterstein (verstorben 14.03.2019) über ein Reinvermögen mit einem Verkehrswert von ca. 6,9 Mio. EUR. Davon entfallen rund 4,8 Mio. EUR auf drei vermietete Immobilien (Mehrfamilienhaus Bamberg, Gewerbeimmobilie Forchheim, ETW München), 1,2 Mio. EUR auf ein gut diversifiziertes Wertpapierdepot und 450.000 EUR auf Festgelder. Die Mieteinnahmen betragen monatlich zusammen ca. 23.300 EUR brutto.</w:t>
      </w:r>
    </w:p>
    <w:p>
      <w:r>
        <w:t>Damit ist die Antragsgegnerin über jeden Zweifel hinaus lebenslang wirtschaftlich abgesichert. Hinzu treten ihre eigene Beamtenversorgung (1.850 EUR monatlich) sowie ihre DRV-Anwartschaft.</w:t>
      </w:r>
    </w:p>
    <w:p>
      <w:r/>
    </w:p>
    <w:p>
      <w:r>
        <w:t>3.2 Vermögenslage des Antragstellers</w:t>
      </w:r>
    </w:p>
    <w:p>
      <w:r>
        <w:t>Der Antragsteller verfügt über ein Reinvermögen von rund 195.000 EUR und kein nennenswertes Liquidationskapital. Die Praxiserträge gehen aufgrund seines Alters (Jg. 1958) und einer 2020 diagnostizierten Verschleisserkrankung des Bewegungsapparats kontinuierlich zurück; die Praxisabgabe ist innerhalb der nächsten 5-7 Jahre vorgesehen. Die Anrechte bei der Bayerischen Ärzteversorgung sind die zentrale Säule seiner Altersversorgung.</w:t>
      </w:r>
    </w:p>
    <w:p>
      <w:r>
        <w:t>Bei vollständiger Durchführung des Versorgungsausgleichs würde sich die Bruttorente des Antragstellers von 4.127,42 EUR auf 2.063,71 EUR halbieren, was unter Berücksichtigung der laufenden Lebenshaltungskosten in Erlangen seine Existenzgrundlage erheblich gefährden würde.</w:t>
      </w:r>
    </w:p>
    <w:p>
      <w:r/>
    </w:p>
    <w:p>
      <w:r>
        <w:t>3.3 Wertung im Lichte der Rechtsprechung</w:t>
      </w:r>
    </w:p>
    <w:p>
      <w:r>
        <w:t>Zwar ist Paragraf 27 VersAusglG nach gefestigter Rechtsprechung des Bundesgerichtshofs (BGH FamRZ 2018, 1746; BGH FamRZ 2014, 1614; BGH FamRZ 2012, 1545) eng auszulegen und nur in Ausnahmefällen einschlägig. Eine solche Ausnahmekonstellation liegt jedoch hier vor: Die ausgleichsberechtigte Person ist durch einseitig erworbenes Vermögen lebenslang abgesichert, während die ausgleichspflichtige Person bei vollständiger Durchführung in ihrer Altersversorgung erheblich beeinträchtigt würde. Der von der Antragsgegnerin angeführte Einwand, die Verwertbarkeit der Immobilien sei eingeschränkt, überzeugt nicht: Bereits die laufenden Mieteinnahmen übersteigen den Bedarf der Antragsgegnerin um ein Mehrfaches; eine teilweise Beleihung oder Verwertung wäre ohne weiteres möglich.</w:t>
      </w:r>
    </w:p>
    <w:p>
      <w:r>
        <w:t>Hinzu kommt, dass die Beteiligten über Jahrzehnte eine gemeinsame Vermögensplanung verfolgt haben, wonach die Versorgungsanrechte des Antragstellers nach der Pensionierung Ihrer gemeinsamen Lebensführung dienen sollten; mit der Erbschaft 2019 ist die Antragsgegnerin von dieser Planung wirtschaftlich vollständig unabhängig geworden.</w:t>
      </w:r>
    </w:p>
    <w:p>
      <w:r/>
    </w:p>
    <w:p>
      <w:r>
        <w:t>3.4 Paragraf 8 der notariellen Vereinbarung 11.11.2021</w:t>
      </w:r>
    </w:p>
    <w:p>
      <w:r>
        <w:t>Die Vereinbarung der Beteiligten vom 11.11.2021 (UR-Nr. 1442/2021 Notar Dr. Wamsdörfer) hat den Versorgungsausgleich ausdrücklich offen gehalten (Paragraf 8). Eine Erstreckung der Vereinbarung auf den VA scheidet daher aus; das Gericht entscheidet von Amts wegen.</w:t>
      </w:r>
    </w:p>
    <w:p>
      <w:r/>
    </w:p>
    <w:p>
      <w:r>
        <w:t>3.5 Rechtsfolge</w:t>
      </w:r>
    </w:p>
    <w:p>
      <w:r>
        <w:t>Bei Abwägung aller Umstände des Einzelfalls ist der Versorgungsausgleich nach Paragraf 27 VersAusglG vollständig auszuschließen. Eine bloss teilweise Reduzierung des Ausgleichs würde dem Befund nicht gerecht, weil die wirtschaftliche Absicherung der Antragsgegnerin auch eine teilweise Schmälerung der Anrechte des Antragstellers entbehrlich macht.</w:t>
      </w:r>
    </w:p>
    <w:p>
      <w:r/>
    </w:p>
    <w:p>
      <w:r>
        <w:t>4. Kosten und Verfahrenswert</w:t>
      </w:r>
    </w:p>
    <w:p>
      <w:r>
        <w:t>Die Kostenentscheidung folgt aus Paragraf 150 FamFG. Die Festsetzung des Verfahrenswertes beruht auf Paragraf 50 FamGKG.</w:t>
      </w:r>
    </w:p>
    <w:p>
      <w:r/>
    </w:p>
    <w:p>
      <w:r>
        <w:t>5. Zulassung der Rechtsbeschwerde</w:t>
      </w:r>
    </w:p>
    <w:p>
      <w:r>
        <w:t>Die Rechtsbeschwerde wird zugelassen, weil die Rechtssache grundsätzliche Bedeutung hat (Paragraf 70 Abs. 2 Nr. 1 FamFG). Die Frage, ob und unter welchen Voraussetzungen einseitig durch Erbschaft erworbenes Immobilienvermögen der ausgleichsberechtigten Person zum vollständigen Ausschluss des Versorgungsausgleichs führt, ist höchstrichterlich nicht eindeutig geklärt.</w:t>
      </w:r>
    </w:p>
    <w:p>
      <w:r/>
    </w:p>
    <w:p>
      <w:pPr>
        <w:pStyle w:val="Heading2"/>
      </w:pPr>
      <w:r>
        <w:rPr>
          <w:rFonts w:ascii="Calibri" w:hAnsi="Calibri"/>
        </w:rPr>
        <w:t>Rechtsmittelbelehrung</w:t>
      </w:r>
    </w:p>
    <w:p>
      <w:r>
        <w:t>Gegen diesen Beschluss kann Rechtsbeschwerde zum Bundesgerichtshof eingelegt werden. Die Rechtsbeschwerde ist binnen einer Frist von einem Monat ab Zustellung dieses Beschlusses durch einen beim Bundesgerichtshof zugelassenen Rechtsanwalt einzulegen. Die Begründungsfrist beträgt zwei Monate ab Zustellung.</w:t>
      </w:r>
    </w:p>
    <w:p>
      <w:r/>
    </w:p>
    <w:p>
      <w:r>
        <w:t>Nürnberg, den 14. November 2022</w:t>
      </w:r>
    </w:p>
    <w:p>
      <w:r/>
    </w:p>
    <w:p>
      <w:r>
        <w:t>Dr. Pirckheimer  -  Lampertshausen-Wittmann  -  Dr. Buchberger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