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Vorberg + Steinhausen Rechtsanwaelte mbB - Insolvenzverwaltung ChainCortex AI GmbH, AG Charlottenburg 36 IN 1342/26</w:t>
      </w:r>
    </w:p>
    <w:p>
      <w:pPr>
        <w:pStyle w:val="Heading1"/>
      </w:pPr>
      <w:r>
        <w:t>Betriebsbedingte Kuendigung fuer widersprechende Arbeitnehmer</w:t>
      </w:r>
    </w:p>
    <w:p>
      <w:r>
        <w:t>Da die ChainCortex AI GmbH (i.L.) nach dem Asset Deal ueber keinen operativen Geschaeftsbetrieb mehr verfuegt, spricht der Insolvenzverwalter gegenueber den beiden widersprechenden Arbeitnehmern (Frau Thalberg und Frau Okonkwo) fristgerecht betriebsbedingte Kuendigungen zum naechstmoeglichen Termin unter Berücksichtigung der insolvenzrechtlichen Kuendigungsfrist gemaess § 113 InsO aus.</w:t>
      </w:r>
    </w:p>
    <w:p>
      <w:r>
        <w:t>Kuendigungsschreiben vom 15.07.2026, Kuendigungsfrist 3 Monate zum Monatsende (§ 113 Satz 2 InsO).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