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Vereinbarung zur datenschutzkonformen Uebernahme der Kundendaten (Anlage zum APA)</w:t>
      </w:r>
    </w:p>
    <w:p>
      <w:r>
        <w:t>Vereinbarung vom 28.06.2026 zwischen dem Insolvenzverwalter und der Voracis Ventures GmbH ueber die Uebertragung der Kundendatenbestaende (B2B ca. 340 Kunden, B2C ca. 1.850 Nutzerkonten).</w:t>
      </w:r>
    </w:p>
    <w:p>
      <w:pPr>
        <w:pStyle w:val="Heading2"/>
      </w:pPr>
      <w:r>
        <w:t>Regelungsinhalt</w:t>
      </w:r>
    </w:p>
    <w:p>
      <w:r>
        <w:t>Uebernahme erfolgt auf Grundlage berechtigten Interesses gemaess Art. 6 Abs. 1 lit. f DSGVO im Rahmen der Unternehmensveraeusserung; betroffene Personen werden binnen 30 Tagen nach Closing per E-Mail und Website-Hinweis ueber den Wechsel des Verantwortlichen informiert und auf ihr Widerspruchsrecht hingewiesen.</w:t>
      </w:r>
    </w:p>
    <w:p>
      <w:r>
        <w:t>Die B2C-Nutzerkonten mit Opt-out innerhalb der Frist (17 Konten) werden vor Uebertragung geloescht bzw. anonymisiert.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