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Sibylle Mangold - Mangold Restrukturierung</w:t>
        <w:br/>
        <w:t>Bueroanschrift: Koenigstrasse 26, 70173 Stuttgart</w:t>
      </w:r>
    </w:p>
    <w:p>
      <w:pPr>
        <w:pStyle w:val="Heading1"/>
      </w:pPr>
      <w:r>
        <w:t>Klageschrift</w:t>
      </w:r>
    </w:p>
    <w:p>
      <w:r>
        <w:t>Landgericht Stuttgart</w:t>
      </w:r>
    </w:p>
    <w:p>
      <w:r>
        <w:t>34. Zivilkammer fuer Handelssachen</w:t>
      </w:r>
    </w:p>
    <w:p>
      <w:r>
        <w:t>Urbanstrasse 20, 70182 Stuttgart</w:t>
      </w:r>
    </w:p>
    <w:p/>
    <w:p>
      <w:r>
        <w:t>In dem Rechtsstreit</w:t>
      </w:r>
    </w:p>
    <w:p>
      <w:r>
        <w:t>Rechtsanwaeltin Dr. Sibylle Mangold, als Insolvenzverwalterin ueber das Vermoegen der Feinwerk Praezisionswerkzeuge GmbH</w:t>
      </w:r>
    </w:p>
    <w:p>
      <w:pPr>
        <w:pStyle w:val="ListBullet"/>
      </w:pPr>
      <w:r>
        <w:t>Klaegerin -</w:t>
      </w:r>
    </w:p>
    <w:p>
      <w:r>
        <w:t>gegen</w:t>
      </w:r>
    </w:p>
    <w:p>
      <w:r>
        <w:t>Sueddeutsche Kreditbank AG, vertreten durch den Vorstand, Bolzstrasse 3, 70173 Stuttgart</w:t>
      </w:r>
    </w:p>
    <w:p>
      <w:pPr>
        <w:pStyle w:val="ListBullet"/>
      </w:pPr>
      <w:r>
        <w:t>Beklagte -</w:t>
      </w:r>
    </w:p>
    <w:p/>
    <w:p>
      <w:r>
        <w:t>wird Klage erhoben mit dem Antrag, festzustellen, dass die Grundschuldbestellung vom 15.05.2023 ueber EUR 1.200.000,00 und die Buergschaftserklaerung vom selben Tag ueber EUR 800.000,00 gegenueber der Masse unwirksam sind, hilfsweise die Beklagte zu verurteilen, an die Klaegerin EUR 1.200.000,00 zu zahlen.</w:t>
      </w:r>
    </w:p>
    <w:p>
      <w:pPr>
        <w:pStyle w:val="Heading2"/>
      </w:pPr>
      <w:r>
        <w:t>Begruendung</w:t>
      </w:r>
    </w:p>
    <w:p>
      <w:r>
        <w:t>Die Sicherheitenbestellung erfolgte unentgeltlich im Sinne des Paragraf 134 Abs. 1 InsO, da die Schuldnerin keine eigene, ausgleichsfaehige Gegenleistung erhalten hat. Der Rueckgriffsanspruch gegen die Muttergesellschaft war im Bestellungszeitpunkt nach dem Sanierungsgutachten vom 28.04.2023 bereits wertlos oder jedenfalls nicht werthaltig; das bankinterne Rating-Memo vom 05.05.2023 bestaetigt dies ausdruecklich mit dem Vermerk 'nicht belastbar'.</w:t>
      </w:r>
    </w:p>
    <w:p/>
    <w:p>
      <w:r>
        <w:t>Dr. Sibylle Mangold</w:t>
        <w:br/>
        <w:t>Rechtsanwaeltin,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