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Sibylle Mangold - Mangold Restrukturierung</w:t>
        <w:br/>
        <w:t>Bueroanschrift: Koenigstrasse 26, 70173 Stuttgart</w:t>
      </w:r>
    </w:p>
    <w:p>
      <w:pPr>
        <w:pStyle w:val="Heading1"/>
      </w:pPr>
      <w:r>
        <w:t>Replik</w:t>
      </w:r>
    </w:p>
    <w:p>
      <w:r>
        <w:t>An das Landgericht Stuttgart - Az. 34 O 88/26 KfH</w:t>
      </w:r>
    </w:p>
    <w:p/>
    <w:p>
      <w:r>
        <w:t>1. Bei der Unentgeltlichkeitsanfechtung nach Paragraf 134 InsO kommt es nicht auf Kenntnis der Beklagten an; die Anfechtung ist verschuldensunabhaengig ausgestaltet.</w:t>
      </w:r>
    </w:p>
    <w:p>
      <w:r>
        <w:t>2. Mittelbare Konzernvorteile (Fortbestand der Gruppe, Auftragslage) sind nach staendiger Rechtsprechung keine ausgleichsfaehige Gegenleistung der Tochter selbst, sondern reflektieren nur das eigene Konzerninteresse der Mutter.</w:t>
      </w:r>
    </w:p>
    <w:p>
      <w:r>
        <w:t>3. Das Rating-Memo datiert eine Woche vor der Bestellung und war ausweislich des Vermerks Grundlage der Konditionengestaltung; es ist daher kein bloss nachrangiges internes Papier.</w:t>
      </w:r>
    </w:p>
    <w:p>
      <w:r>
        <w:t>Es wird Fristsetzung zur Gegenerwiderung binnen drei Wochen beantragt.</w:t>
      </w:r>
    </w:p>
    <w:p/>
    <w:p>
      <w:r>
        <w:t>Dr. Sibylle Mangold</w:t>
        <w:br/>
        <w:t>Rechtsanwaeltin, Insolvenzverwalterin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