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sz w:val="18"/>
        </w:rPr>
        <w:t>Auerbach Soundworks GmbH — interne Rechtsabteilung / mandatierte Kanzlei Rennfeld &amp; Torkelmann Musikrecht, Kreuzberg</w:t>
      </w:r>
      <w:r>
        <w:rPr>
          <w:rFonts w:ascii="Times New Roman" w:hAnsi="Times New Roman"/>
          <w:i w:val="0"/>
          <w:sz w:val="18"/>
        </w:rPr>
        <w:br/>
        <w:t>Skalitzer Strasse 88, 10997 Berlin-Kreuzberg — Az. AS-2026-0037</w:t>
      </w:r>
    </w:p>
    <w:p>
      <w:pPr>
        <w:spacing w:after="200"/>
      </w:pPr>
      <w:r>
        <w:rPr>
          <w:sz w:val="16"/>
        </w:rPr>
        <w:t>______________________________________________________________________________</w:t>
      </w:r>
    </w:p>
    <w:p>
      <w:pPr>
        <w:pStyle w:val="Heading1"/>
      </w:pPr>
      <w:r>
        <w:t>Sachverstaendigengutachten Musikvergleich (vorlaeufiges Ergebnis)</w:t>
      </w:r>
    </w:p>
    <w:p>
      <w:r>
        <w:t>Sachverstaendige: Dipl.-Toningenieurin Renata Oskolkov, oeffentlich bestellt und vereidigt fuer forensische Audioanalyse, Berlin. Auftrag gemaess Briefing vom 12.05.2026 (Aktenstueck 10). Vorlaeufiges schriftliches Ergebnis vom 02.06.2026, Endgutachten steht unter Vorbehalt vollstaendiger Nachtbogen-Masterdatei noch aus.</w:t>
      </w:r>
    </w:p>
    <w:p>
      <w:pPr>
        <w:pStyle w:val="Heading2"/>
      </w:pPr>
      <w:r>
        <w:t>1. Untersuchte Objekte</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t>Objekt</w:t>
            </w:r>
          </w:p>
        </w:tc>
        <w:tc>
          <w:tcPr>
            <w:tcW w:type="dxa" w:w="2422"/>
          </w:tcPr>
          <w:p>
            <w:r>
              <w:t>Datei</w:t>
            </w:r>
          </w:p>
        </w:tc>
        <w:tc>
          <w:tcPr>
            <w:tcW w:type="dxa" w:w="2422"/>
          </w:tcPr>
          <w:p>
            <w:r>
              <w:t>Zeitcode</w:t>
            </w:r>
          </w:p>
        </w:tc>
        <w:tc>
          <w:tcPr>
            <w:tcW w:type="dxa" w:w="2422"/>
          </w:tcPr>
          <w:p>
            <w:r>
              <w:t>Herkunft</w:t>
            </w:r>
          </w:p>
        </w:tc>
      </w:tr>
      <w:tr>
        <w:tc>
          <w:tcPr>
            <w:tcW w:type="dxa" w:w="2422"/>
          </w:tcPr>
          <w:p>
            <w:r>
              <w:t>Auerbach Final Preview</w:t>
            </w:r>
          </w:p>
        </w:tc>
        <w:tc>
          <w:tcPr>
            <w:tcW w:type="dxa" w:w="2422"/>
          </w:tcPr>
          <w:p>
            <w:r>
              <w:t>nordlicht_campaign_cut_v4.wav</w:t>
            </w:r>
          </w:p>
        </w:tc>
        <w:tc>
          <w:tcPr>
            <w:tcW w:type="dxa" w:w="2422"/>
          </w:tcPr>
          <w:p>
            <w:r>
              <w:t>00:07-00:15 und 00:22-00:29</w:t>
            </w:r>
          </w:p>
        </w:tc>
        <w:tc>
          <w:tcPr>
            <w:tcW w:type="dxa" w:w="2422"/>
          </w:tcPr>
          <w:p>
            <w:r>
              <w:t>Auerbach Studio, Upload 16.05.2026</w:t>
            </w:r>
          </w:p>
        </w:tc>
      </w:tr>
      <w:tr>
        <w:tc>
          <w:tcPr>
            <w:tcW w:type="dxa" w:w="2422"/>
          </w:tcPr>
          <w:p>
            <w:r>
              <w:t>Valtin-Demo</w:t>
            </w:r>
          </w:p>
        </w:tc>
        <w:tc>
          <w:tcPr>
            <w:tcW w:type="dxa" w:w="2422"/>
          </w:tcPr>
          <w:p>
            <w:r>
              <w:t>valtin_demo_feb.wav</w:t>
            </w:r>
          </w:p>
        </w:tc>
        <w:tc>
          <w:tcPr>
            <w:tcW w:type="dxa" w:w="2422"/>
          </w:tcPr>
          <w:p>
            <w:r>
              <w:t>00:02-00:10</w:t>
            </w:r>
          </w:p>
        </w:tc>
        <w:tc>
          <w:tcPr>
            <w:tcW w:type="dxa" w:w="2422"/>
          </w:tcPr>
          <w:p>
            <w:r>
              <w:t>Henning Valtin, weitergeleitet 14.05.2026</w:t>
            </w:r>
          </w:p>
        </w:tc>
      </w:tr>
      <w:tr>
        <w:tc>
          <w:tcPr>
            <w:tcW w:type="dxa" w:w="2422"/>
          </w:tcPr>
          <w:p>
            <w:r>
              <w:t>Nachtbogen-Ausschnitt</w:t>
            </w:r>
          </w:p>
        </w:tc>
        <w:tc>
          <w:tcPr>
            <w:tcW w:type="dxa" w:w="2422"/>
          </w:tcPr>
          <w:p>
            <w:r>
              <w:t>Fenster aus Eis, 18-Sek-Schnipsel</w:t>
            </w:r>
          </w:p>
        </w:tc>
        <w:tc>
          <w:tcPr>
            <w:tcW w:type="dxa" w:w="2422"/>
          </w:tcPr>
          <w:p>
            <w:r>
              <w:t>01:12-01:14 (Gegenseite behauptet)</w:t>
            </w:r>
          </w:p>
        </w:tc>
        <w:tc>
          <w:tcPr>
            <w:tcW w:type="dxa" w:w="2422"/>
          </w:tcPr>
          <w:p>
            <w:r>
              <w:t>Nachtbogen Records, per Abmahnung beigefuegt</w:t>
            </w:r>
          </w:p>
        </w:tc>
      </w:tr>
      <w:tr>
        <w:tc>
          <w:tcPr>
            <w:tcW w:type="dxa" w:w="2422"/>
          </w:tcPr>
          <w:p>
            <w:r>
              <w:t>MIDI-Rohdaten</w:t>
            </w:r>
          </w:p>
        </w:tc>
        <w:tc>
          <w:tcPr>
            <w:tcW w:type="dxa" w:w="2422"/>
          </w:tcPr>
          <w:p>
            <w:r>
              <w:t>hook_bright_07.mid, hook_final_edit.mid</w:t>
            </w:r>
          </w:p>
        </w:tc>
        <w:tc>
          <w:tcPr>
            <w:tcW w:type="dxa" w:w="2422"/>
          </w:tcPr>
          <w:p>
            <w:r>
              <w:t>vollstaendig</w:t>
            </w:r>
          </w:p>
        </w:tc>
        <w:tc>
          <w:tcPr>
            <w:tcW w:type="dxa" w:w="2422"/>
          </w:tcPr>
          <w:p>
            <w:r>
              <w:t>Neuronest-Exportprotokoll</w:t>
            </w:r>
          </w:p>
        </w:tc>
      </w:tr>
      <w:tr>
        <w:tc>
          <w:tcPr>
            <w:tcW w:type="dxa" w:w="2422"/>
          </w:tcPr>
          <w:p>
            <w:r>
              <w:t>Preset-Export</w:t>
            </w:r>
          </w:p>
        </w:tc>
        <w:tc>
          <w:tcPr>
            <w:tcW w:type="dxa" w:w="2422"/>
          </w:tcPr>
          <w:p>
            <w:r>
              <w:t>GlassStep Berlin 07.ksgp</w:t>
            </w:r>
          </w:p>
        </w:tc>
        <w:tc>
          <w:tcPr>
            <w:tcW w:type="dxa" w:w="2422"/>
          </w:tcPr>
          <w:p>
            <w:r>
              <w:t>vollstaendig</w:t>
            </w:r>
          </w:p>
        </w:tc>
        <w:tc>
          <w:tcPr>
            <w:tcW w:type="dxa" w:w="2422"/>
          </w:tcPr>
          <w:p>
            <w:r>
              <w:t>Plugin Kieselglas, Auerbach-Rechner</w:t>
            </w:r>
          </w:p>
        </w:tc>
      </w:tr>
    </w:tbl>
    <w:p>
      <w:pPr>
        <w:pStyle w:val="Heading2"/>
      </w:pPr>
      <w:r>
        <w:t>2. Methodik</w:t>
      </w:r>
    </w:p>
    <w:p>
      <w:pPr>
        <w:pStyle w:val="ListBullet"/>
      </w:pPr>
      <w:r>
        <w:t>Spektrogramm- und Chroma-Vergleich der Hookline in allen drei Quellen (Tonhoehenfolge, Intervallstruktur, Rhythmus, Phrasierung, metrische Position).</w:t>
      </w:r>
    </w:p>
    <w:p>
      <w:pPr>
        <w:pStyle w:val="ListBullet"/>
      </w:pPr>
      <w:r>
        <w:t>Fingerprint-Abgleich nach dem Prinzip akustischer Fingerabdruecke (vergleichbar Content-ID-Verfahren), separat dokumentiert in Aktenstueck 17.</w:t>
      </w:r>
    </w:p>
    <w:p>
      <w:pPr>
        <w:pStyle w:val="ListBullet"/>
      </w:pPr>
      <w:r>
        <w:t>Transienten- und Rauschanalyse des finalen Bounces auf Hinweise fuer Sample-Import versus synthetische Erzeugung.</w:t>
      </w:r>
    </w:p>
    <w:p>
      <w:pPr>
        <w:pStyle w:val="ListBullet"/>
      </w:pPr>
      <w:r>
        <w:t>Metadaten- und Projektstruktur-Pruefung der DAW-Datei auf nachtraegliche Bearbeitungsspuren.</w:t>
      </w:r>
    </w:p>
    <w:p>
      <w:pPr>
        <w:pStyle w:val="ListBullet"/>
      </w:pPr>
      <w:r>
        <w:t>Abschaetzung des Gestaltungsspielraums einer 104-BPM-Werbehook in d-Moll mit urbaner Glaspercussion anhand eines Vergleichskorpus von 40 aehnlich gelagerten Werbejingles.</w:t>
      </w:r>
    </w:p>
    <w:p>
      <w:pPr>
        <w:pStyle w:val="Heading2"/>
      </w:pPr>
      <w:r>
        <w:t>3. Befunde (vorlaeufig)</w:t>
      </w:r>
    </w:p>
    <w:p>
      <w:pPr>
        <w:pStyle w:val="Heading3"/>
      </w:pPr>
      <w:r>
        <w:t>3.1 Melodische Uebereinstimmung Auerbach/Valtin</w:t>
      </w:r>
    </w:p>
    <w:p>
      <w:r>
        <w:t>Die ersten vier Takte der Hookline zeigen in Tonhoehenfolge und Rhythmus eine Uebereinstimmung von rund 78 Prozent zur Valtin-Demo vom Februar 2026. Die metrische Position der markanten Terzsprung-Figur ist identisch. Der Refrain-Ausklang unterscheidet sich hoerbar: die Auerbach-Fassung endet aufwaerts, die Valtin-Demo abwaerts. Eine eigenstaendige schoepferische Weiterentwicklung ist nicht auszuschliessen, eine zufaellige Parallelentwicklung angesichts der Uebereinstimmungsdichte aber unwahrscheinlich.</w:t>
      </w:r>
    </w:p>
    <w:p>
      <w:pPr>
        <w:pStyle w:val="Heading3"/>
      </w:pPr>
      <w:r>
        <w:t>3.2 Glas-Percussion und moeglicher Sample-Bezug Nachtbogen</w:t>
      </w:r>
    </w:p>
    <w:p>
      <w:r>
        <w:t>Der von Nachtbogen Records vorgelegte 18-Sekunden-Ausschnitt reicht fuer eine abschliessende Fingerprint-Pruefung nicht aus. Die vorlaeufige Transientenanalyse zeigt strukturelle Aehnlichkeiten im Attack-Verhalten der Glas-Percussion, die sowohl auf eine gemeinsame Preset-Bibliothek als auch auf eine direkte Audiouebernahme zurueckgehen koennten. Das Kieselglas-Preset GlassStep Berlin 07 kann die gehoerte Textur technisch plausibel erzeugen; ein Ausschluss der Sample-Uebernahme ist auf Basis des Ausschnitts nicht moeglich.</w:t>
      </w:r>
    </w:p>
    <w:p>
      <w:pPr>
        <w:pStyle w:val="Heading3"/>
      </w:pPr>
      <w:r>
        <w:t>3.3 Metadaten- und Projektstruktur</w:t>
      </w:r>
    </w:p>
    <w:p>
      <w:r>
        <w:t>Im DAW-Projekt Auerbach finden sich keine Hinweise auf nachtraegliche Manipulation der Zeitstempel. Die Neuronest-Exportkette (Prompt, MIDI, Audio-Zwischenstand) ist luckenlos nachvollziehbar und stuetzt die Darstellung eines KI-gestuetzten, aber nicht rein automatisierten Kompositionsprozesses.</w:t>
      </w:r>
    </w:p>
    <w:p>
      <w:pPr>
        <w:pStyle w:val="Heading3"/>
      </w:pPr>
      <w:r>
        <w:t>3.4 Gestaltungsspielraum</w:t>
      </w:r>
    </w:p>
    <w:p>
      <w:r>
        <w:t>Im Vergleichskorpus aehnlich gelagerter Werbejingles liegt die durchschnittliche melodische Uebereinstimmung zwischen unabhaengig entstandenen Hooklines bei etwa 30 bis 40 Prozent. Der hier festgestellte Wert von rund 78 Prozent liegt deutlich darueber und spricht gegen eine zufaellige Parallelentwicklung zwischen Auerbach- und Valtin-Fassung.</w:t>
      </w:r>
    </w:p>
    <w:p>
      <w:pPr>
        <w:pStyle w:val="Heading2"/>
      </w:pPr>
      <w:r>
        <w:t>4. Ausdrueckliche Einschraenkung</w:t>
      </w:r>
    </w:p>
    <w:p>
      <w:r>
        <w:t>Die Sachverstaendige trifft keine Aussage zur urheberrechtlichen Bewertung. Die Feststellungen beschraenken sich auf musikalische und technische Vergleichstatsachen. Eine abschliessende Aussage zur Nachtbogen-Frage ist erst nach Vorlage der vollstaendigen Masterdatei oder eines gerichtlich gesicherten laengeren Referenzausschnitts moeglich.</w:t>
      </w:r>
    </w:p>
    <w:p>
      <w:pPr>
        <w:pStyle w:val="Heading2"/>
      </w:pPr>
      <w:r>
        <w:t>5. Offene Anforderungen fuer das Endgutachten</w:t>
      </w:r>
    </w:p>
    <w:p>
      <w:pPr>
        <w:pStyle w:val="ListBullet"/>
      </w:pPr>
      <w:r>
        <w:t>Vollstaendige Nachtbogen-Masterdatei oder gerichtlich gesicherter Referenzausschnitt von mindestens 60 Sekunden.</w:t>
      </w:r>
    </w:p>
    <w:p>
      <w:pPr>
        <w:pStyle w:val="ListBullet"/>
      </w:pPr>
      <w:r>
        <w:t>Ergaenzende Rueckfrage an Neuronest zu Trainingsdatenherkunft der Glas-Percussion-Presets.</w:t>
      </w:r>
    </w:p>
    <w:p>
      <w:pPr>
        <w:pStyle w:val="ListBullet"/>
      </w:pPr>
      <w:r>
        <w:t>Abgleich mit GEMA-Werkdatenbank auf vorbestehende aehnliche Melodiefolgen.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