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Times New Roman" w:hAnsi="Times New Roman"/>
          <w:i/>
          <w:sz w:val="18"/>
        </w:rPr>
        <w:t>Auerbach Soundworks GmbH — interne Rechtsabteilung / mandatierte Kanzlei Rennfeld &amp; Torkelmann Musikrecht, Kreuzberg</w:t>
      </w:r>
      <w:r>
        <w:rPr>
          <w:rFonts w:ascii="Times New Roman" w:hAnsi="Times New Roman"/>
          <w:i w:val="0"/>
          <w:sz w:val="18"/>
        </w:rPr>
        <w:br/>
        <w:t>Skalitzer Strasse 88, 10997 Berlin-Kreuzberg — Az. AS-2026-0037</w:t>
      </w:r>
    </w:p>
    <w:p>
      <w:pPr>
        <w:spacing w:after="200"/>
      </w:pPr>
      <w:r>
        <w:rPr>
          <w:sz w:val="16"/>
        </w:rPr>
        <w:t>______________________________________________________________________________</w:t>
      </w:r>
    </w:p>
    <w:p>
      <w:pPr>
        <w:pStyle w:val="Heading1"/>
      </w:pPr>
      <w:r>
        <w:t>ECMR-Fingerprint-Bericht Streamdeck Europe (Content-ID-Abgleich)</w:t>
      </w:r>
    </w:p>
    <w:p>
      <w:r>
        <w:t>Automatisierter Bericht der Plattform Streamdeck Europe, erzeugt durch deren Content-ID-System (Enhanced Content Match Rights Detection, ECMR-Modul Version 6.2). Export vom 19.05.2026, angefordert im Rahmen der Takedown-Pruefung zu Aktenstueck 07.</w:t>
      </w:r>
    </w:p>
    <w:p>
      <w:pPr>
        <w:pStyle w:val="Heading2"/>
      </w:pPr>
      <w:r>
        <w:t>1. Systemhinweis der Plattform</w:t>
      </w:r>
    </w:p>
    <w:p>
      <w:r>
        <w:t>Streamdeck Europe weist ausdruecklich darauf hin, dass automatisierte Fingerprint-Treffer keine rechtliche Feststellung einer Urheberrechtsverletzung darstellen, sondern lediglich eine technische Aehnlichkeit zu hinterlegten Referenzdateien im Rights-Manager-Katalog anzeigen. Ein Treffer loest nach den Plattformbedingungen automatisch eine 72-Stunden-Pruefungsfrist fuer den Upload aus.</w:t>
      </w:r>
    </w:p>
    <w:p>
      <w:pPr>
        <w:pStyle w:val="Heading2"/>
      </w:pPr>
      <w:r>
        <w:t>2. Trefferuebersicht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Referenzdatei (Rechteinhaber)</w:t>
            </w:r>
          </w:p>
        </w:tc>
        <w:tc>
          <w:tcPr>
            <w:tcW w:type="dxa" w:w="2422"/>
          </w:tcPr>
          <w:p>
            <w:r>
              <w:t>Uebereinstimmung</w:t>
            </w:r>
          </w:p>
        </w:tc>
        <w:tc>
          <w:tcPr>
            <w:tcW w:type="dxa" w:w="2422"/>
          </w:tcPr>
          <w:p>
            <w:r>
              <w:t>Segment im Upload</w:t>
            </w:r>
          </w:p>
        </w:tc>
        <w:tc>
          <w:tcPr>
            <w:tcW w:type="dxa" w:w="2422"/>
          </w:tcPr>
          <w:p>
            <w:r>
              <w:t>Match-Typ</w:t>
            </w:r>
          </w:p>
        </w:tc>
      </w:tr>
      <w:tr>
        <w:tc>
          <w:tcPr>
            <w:tcW w:type="dxa" w:w="2422"/>
          </w:tcPr>
          <w:p>
            <w:r>
              <w:t>Fenster aus Eis (Nachtbogen Records)</w:t>
            </w:r>
          </w:p>
        </w:tc>
        <w:tc>
          <w:tcPr>
            <w:tcW w:type="dxa" w:w="2422"/>
          </w:tcPr>
          <w:p>
            <w:r>
              <w:t>41 %</w:t>
            </w:r>
          </w:p>
        </w:tc>
        <w:tc>
          <w:tcPr>
            <w:tcW w:type="dxa" w:w="2422"/>
          </w:tcPr>
          <w:p>
            <w:r>
              <w:t>00:22-00:29</w:t>
            </w:r>
          </w:p>
        </w:tc>
        <w:tc>
          <w:tcPr>
            <w:tcW w:type="dxa" w:w="2422"/>
          </w:tcPr>
          <w:p>
            <w:r>
              <w:t>Melodie + Percussion-Textur</w:t>
            </w:r>
          </w:p>
        </w:tc>
      </w:tr>
      <w:tr>
        <w:tc>
          <w:tcPr>
            <w:tcW w:type="dxa" w:w="2422"/>
          </w:tcPr>
          <w:p>
            <w:r>
              <w:t>GEMA-Referenzkatalog Werbejingles</w:t>
            </w:r>
          </w:p>
        </w:tc>
        <w:tc>
          <w:tcPr>
            <w:tcW w:type="dxa" w:w="2422"/>
          </w:tcPr>
          <w:p>
            <w:r>
              <w:t>kein Treffer</w:t>
            </w:r>
          </w:p>
        </w:tc>
        <w:tc>
          <w:tcPr>
            <w:tcW w:type="dxa" w:w="2422"/>
          </w:tcPr>
          <w:p>
            <w:r>
              <w:t>-</w:t>
            </w:r>
          </w:p>
        </w:tc>
        <w:tc>
          <w:tcPr>
            <w:tcW w:type="dxa" w:w="2422"/>
          </w:tcPr>
          <w:p>
            <w:r>
              <w:t>-</w:t>
            </w:r>
          </w:p>
        </w:tc>
      </w:tr>
      <w:tr>
        <w:tc>
          <w:tcPr>
            <w:tcW w:type="dxa" w:w="2422"/>
          </w:tcPr>
          <w:p>
            <w:r>
              <w:t>Interne Auerbach-Referenz nordlicht_demo_v1.wav</w:t>
            </w:r>
          </w:p>
        </w:tc>
        <w:tc>
          <w:tcPr>
            <w:tcW w:type="dxa" w:w="2422"/>
          </w:tcPr>
          <w:p>
            <w:r>
              <w:t>97 %</w:t>
            </w:r>
          </w:p>
        </w:tc>
        <w:tc>
          <w:tcPr>
            <w:tcW w:type="dxa" w:w="2422"/>
          </w:tcPr>
          <w:p>
            <w:r>
              <w:t>gesamter Track</w:t>
            </w:r>
          </w:p>
        </w:tc>
        <w:tc>
          <w:tcPr>
            <w:tcW w:type="dxa" w:w="2422"/>
          </w:tcPr>
          <w:p>
            <w:r>
              <w:t>Eigenreferenz, kein Konflikt</w:t>
            </w:r>
          </w:p>
        </w:tc>
      </w:tr>
    </w:tbl>
    <w:p>
      <w:pPr>
        <w:pStyle w:val="Heading2"/>
      </w:pPr>
      <w:r>
        <w:t>3. Technische Anmerkungen des Plattform-Supports</w:t>
      </w:r>
    </w:p>
    <w:p>
      <w:pPr>
        <w:pStyle w:val="ListBullet"/>
      </w:pPr>
      <w:r>
        <w:t>Der Match gegen die Nachtbogen-Referenz basiert auf einem 18-Sekunden-Fingerprint-Fragment, das Nachtbogen Records selbst hochgeladen hat; die Systemgenauigkeit sinkt bei Referenzfragmenten unter 30 Sekunden erfahrungsgemaess deutlich.</w:t>
      </w:r>
    </w:p>
    <w:p>
      <w:pPr>
        <w:pStyle w:val="ListBullet"/>
      </w:pPr>
      <w:r>
        <w:t>Eine manuelle Nachpruefung durch einen menschlichen Reviewer hat nach Plattformangaben noch nicht stattgefunden; der Status ist automatisiert markiert als "unter Pruefung".</w:t>
      </w:r>
    </w:p>
    <w:p>
      <w:pPr>
        <w:pStyle w:val="ListBullet"/>
      </w:pPr>
      <w:r>
        <w:t>Die Plattform kann keine Aussage treffen, ob die Uebereinstimmung auf gemeinsamer Preset-Nutzung, Sample-Uebernahme oder Zufall beruht.</w:t>
      </w:r>
    </w:p>
    <w:p>
      <w:pPr>
        <w:pStyle w:val="Heading2"/>
      </w:pPr>
      <w:r>
        <w:t>4. Abgleich mit dem Sachverstaendigengutachten</w:t>
      </w:r>
    </w:p>
    <w:p>
      <w:r>
        <w:t>Der von der Plattform ermittelte Uebereinstimmungswert von 41 Prozent fuer das Segment 00:22-00:29 deckt sich in der Groessenordnung mit den Unsicherheiten aus dem vorlaeufigen Sachverstaendigengutachten (Aktenstueck 16), das wegen des zu kurzen Referenzausschnitts ebenfalls keine abschliessende Aussage zur Glas-Percussion treffen konnte. Beide Quellen sprechen dafuer, vor einer endgueltigen Freigabe- oder Takedown-Entscheidung eine laengere Referenzaufnahme anzufordern.</w:t>
      </w:r>
    </w:p>
    <w:p>
      <w:pPr>
        <w:pStyle w:val="Heading2"/>
      </w:pPr>
      <w:r>
        <w:t>5. Fristenlage laut Plattform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Ereignis</w:t>
            </w:r>
          </w:p>
        </w:tc>
        <w:tc>
          <w:tcPr>
            <w:tcW w:type="dxa" w:w="4844"/>
          </w:tcPr>
          <w:p>
            <w:r>
              <w:t>Datum</w:t>
            </w:r>
          </w:p>
        </w:tc>
      </w:tr>
      <w:tr>
        <w:tc>
          <w:tcPr>
            <w:tcW w:type="dxa" w:w="4844"/>
          </w:tcPr>
          <w:p>
            <w:r>
              <w:t>Upload Preview</w:t>
            </w:r>
          </w:p>
        </w:tc>
        <w:tc>
          <w:tcPr>
            <w:tcW w:type="dxa" w:w="4844"/>
          </w:tcPr>
          <w:p>
            <w:r>
              <w:t>16.05.2026</w:t>
            </w:r>
          </w:p>
        </w:tc>
      </w:tr>
      <w:tr>
        <w:tc>
          <w:tcPr>
            <w:tcW w:type="dxa" w:w="4844"/>
          </w:tcPr>
          <w:p>
            <w:r>
              <w:t>Claim Nachtbogen eingegangen</w:t>
            </w:r>
          </w:p>
        </w:tc>
        <w:tc>
          <w:tcPr>
            <w:tcW w:type="dxa" w:w="4844"/>
          </w:tcPr>
          <w:p>
            <w:r>
              <w:t>17.05.2026</w:t>
            </w:r>
          </w:p>
        </w:tc>
      </w:tr>
      <w:tr>
        <w:tc>
          <w:tcPr>
            <w:tcW w:type="dxa" w:w="4844"/>
          </w:tcPr>
          <w:p>
            <w:r>
              <w:t>ECMR-Bericht erzeugt</w:t>
            </w:r>
          </w:p>
        </w:tc>
        <w:tc>
          <w:tcPr>
            <w:tcW w:type="dxa" w:w="4844"/>
          </w:tcPr>
          <w:p>
            <w:r>
              <w:t>19.05.2026</w:t>
            </w:r>
          </w:p>
        </w:tc>
      </w:tr>
      <w:tr>
        <w:tc>
          <w:tcPr>
            <w:tcW w:type="dxa" w:w="4844"/>
          </w:tcPr>
          <w:p>
            <w:r>
              <w:t>Ablauf 72h-Pruefungsfrist</w:t>
            </w:r>
          </w:p>
        </w:tc>
        <w:tc>
          <w:tcPr>
            <w:tcW w:type="dxa" w:w="4844"/>
          </w:tcPr>
          <w:p>
            <w:r>
              <w:t>20.05.2026, 14:10 Uhr</w:t>
            </w:r>
          </w:p>
        </w:tc>
      </w:tr>
      <w:tr>
        <w:tc>
          <w:tcPr>
            <w:tcW w:type="dxa" w:w="4844"/>
          </w:tcPr>
          <w:p>
            <w:r>
              <w:t>Automatische Sperre bei Fristablauf ohne Gegendarstellung</w:t>
            </w:r>
          </w:p>
        </w:tc>
        <w:tc>
          <w:tcPr>
            <w:tcW w:type="dxa" w:w="4844"/>
          </w:tcPr>
          <w:p>
            <w:r>
              <w:t>ab 20.05.2026, 14:10 Uhr</w:t>
            </w:r>
          </w:p>
        </w:tc>
      </w:tr>
    </w:tbl>
    <w:p>
      <w:pPr>
        <w:pStyle w:val="Heading2"/>
      </w:pPr>
      <w:r>
        <w:t>6. Empfehlung an das Mandat</w:t>
      </w:r>
    </w:p>
    <w:p>
      <w:r>
        <w:t>Vor Ablauf der Pruefungsfrist sollte eine Gegendarstellung mit Verweis auf das vorlaeufige Sachverstaendigengutachten eingereicht werden, verbunden mit der Bitte um Fristverlaengerung bis zur Vorlage einer laengeren Nachtbogen-Referenzaufnahme.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