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i/>
          <w:sz w:val="18"/>
        </w:rPr>
        <w:t>Auerbach Soundworks GmbH — interne Rechtsabteilung / mandatierte Kanzlei Rennfeld &amp; Torkelmann Musikrecht, Kreuzberg</w:t>
      </w:r>
      <w:r>
        <w:rPr>
          <w:rFonts w:ascii="Times New Roman" w:hAnsi="Times New Roman"/>
          <w:i w:val="0"/>
          <w:sz w:val="18"/>
        </w:rPr>
        <w:br/>
        <w:t>Skalitzer Strasse 88, 10997 Berlin-Kreuzberg — Az. AS-2026-0037</w:t>
      </w:r>
    </w:p>
    <w:p>
      <w:pPr>
        <w:spacing w:after="200"/>
      </w:pPr>
      <w:r>
        <w:rPr>
          <w:sz w:val="16"/>
        </w:rPr>
        <w:t>______________________________________________________________________________</w:t>
      </w:r>
    </w:p>
    <w:p>
      <w:pPr>
        <w:pStyle w:val="Heading1"/>
      </w:pPr>
      <w:r>
        <w:t>GEMA-Werkanmeldung Nordlicht in Beton (Entwurf mit Vorbehalt)</w:t>
      </w:r>
    </w:p>
    <w:p>
      <w:r>
        <w:t>Entwurf der Werkanmeldung fuer die Verwertungsgesellschaft GEMA, aufbauend auf dem Cue-Sheet aus Aktenstueck 12. Anmeldung erfolgt unter ausdruecklichem Vorbehalt der laufenden Rechteklaerung; Aenderungslog wird bei jeder Aktualisierung fortgeschrieben.</w:t>
      </w:r>
    </w:p>
    <w:p>
      <w:pPr>
        <w:pStyle w:val="Heading2"/>
      </w:pPr>
      <w:r>
        <w:t>1. Werkdaten fuer die Anmeldung</w:t>
      </w:r>
    </w:p>
    <w:tbl>
      <w:tblPr>
        <w:tblStyle w:val="LightGrid-Accent1"/>
        <w:tblW w:type="auto" w:w="0"/>
        <w:tblLook w:firstColumn="1" w:firstRow="1" w:lastColumn="0" w:lastRow="0" w:noHBand="0" w:noVBand="1" w:val="04A0"/>
      </w:tblPr>
      <w:tblGrid>
        <w:gridCol w:w="4844"/>
        <w:gridCol w:w="4844"/>
      </w:tblGrid>
      <w:tr>
        <w:tc>
          <w:tcPr>
            <w:tcW w:type="dxa" w:w="4844"/>
          </w:tcPr>
          <w:p>
            <w:r>
              <w:t>Feld</w:t>
            </w:r>
          </w:p>
        </w:tc>
        <w:tc>
          <w:tcPr>
            <w:tcW w:type="dxa" w:w="4844"/>
          </w:tcPr>
          <w:p>
            <w:r>
              <w:t>Angabe</w:t>
            </w:r>
          </w:p>
        </w:tc>
      </w:tr>
      <w:tr>
        <w:tc>
          <w:tcPr>
            <w:tcW w:type="dxa" w:w="4844"/>
          </w:tcPr>
          <w:p>
            <w:r>
              <w:t>Werktitel</w:t>
            </w:r>
          </w:p>
        </w:tc>
        <w:tc>
          <w:tcPr>
            <w:tcW w:type="dxa" w:w="4844"/>
          </w:tcPr>
          <w:p>
            <w:r>
              <w:t>Nordlicht in Beton</w:t>
            </w:r>
          </w:p>
        </w:tc>
      </w:tr>
      <w:tr>
        <w:tc>
          <w:tcPr>
            <w:tcW w:type="dxa" w:w="4844"/>
          </w:tcPr>
          <w:p>
            <w:r>
              <w:t>Gattung</w:t>
            </w:r>
          </w:p>
        </w:tc>
        <w:tc>
          <w:tcPr>
            <w:tcW w:type="dxa" w:w="4844"/>
          </w:tcPr>
          <w:p>
            <w:r>
              <w:t>Werbemusik, Instrumental- und Vokalfassung</w:t>
            </w:r>
          </w:p>
        </w:tc>
      </w:tr>
      <w:tr>
        <w:tc>
          <w:tcPr>
            <w:tcW w:type="dxa" w:w="4844"/>
          </w:tcPr>
          <w:p>
            <w:r>
              <w:t>Dauer Hauptfassung</w:t>
            </w:r>
          </w:p>
        </w:tc>
        <w:tc>
          <w:tcPr>
            <w:tcW w:type="dxa" w:w="4844"/>
          </w:tcPr>
          <w:p>
            <w:r>
              <w:t>00:30</w:t>
            </w:r>
          </w:p>
        </w:tc>
      </w:tr>
      <w:tr>
        <w:tc>
          <w:tcPr>
            <w:tcW w:type="dxa" w:w="4844"/>
          </w:tcPr>
          <w:p>
            <w:r>
              <w:t>Dauer Cutdown</w:t>
            </w:r>
          </w:p>
        </w:tc>
        <w:tc>
          <w:tcPr>
            <w:tcW w:type="dxa" w:w="4844"/>
          </w:tcPr>
          <w:p>
            <w:r>
              <w:t>00:15</w:t>
            </w:r>
          </w:p>
        </w:tc>
      </w:tr>
      <w:tr>
        <w:tc>
          <w:tcPr>
            <w:tcW w:type="dxa" w:w="4844"/>
          </w:tcPr>
          <w:p>
            <w:r>
              <w:t>ISWC</w:t>
            </w:r>
          </w:p>
        </w:tc>
        <w:tc>
          <w:tcPr>
            <w:tcW w:type="dxa" w:w="4844"/>
          </w:tcPr>
          <w:p>
            <w:r>
              <w:t>Antrag vorbereitet, noch nicht eingereicht</w:t>
            </w:r>
          </w:p>
        </w:tc>
      </w:tr>
      <w:tr>
        <w:tc>
          <w:tcPr>
            <w:tcW w:type="dxa" w:w="4844"/>
          </w:tcPr>
          <w:p>
            <w:r>
              <w:t>ISRC Master</w:t>
            </w:r>
          </w:p>
        </w:tc>
        <w:tc>
          <w:tcPr>
            <w:tcW w:type="dxa" w:w="4844"/>
          </w:tcPr>
          <w:p>
            <w:r>
              <w:t>Vergabe durch Auerbach Soundworks GmbH vorgesehen, noch offen</w:t>
            </w:r>
          </w:p>
        </w:tc>
      </w:tr>
      <w:tr>
        <w:tc>
          <w:tcPr>
            <w:tcW w:type="dxa" w:w="4844"/>
          </w:tcPr>
          <w:p>
            <w:r>
              <w:t>Erstnutzung</w:t>
            </w:r>
          </w:p>
        </w:tc>
        <w:tc>
          <w:tcPr>
            <w:tcW w:type="dxa" w:w="4844"/>
          </w:tcPr>
          <w:p>
            <w:r>
              <w:t>Werbekampagne Getraenkemarke, TV/Online/Social/POS, geplanter Start 01.07.2026</w:t>
            </w:r>
          </w:p>
        </w:tc>
      </w:tr>
    </w:tbl>
    <w:p>
      <w:pPr>
        <w:pStyle w:val="Heading2"/>
      </w:pPr>
      <w:r>
        <w:t>2. Anteilsmeldung mit Vorbehalt</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t>Rolle</w:t>
            </w:r>
          </w:p>
        </w:tc>
        <w:tc>
          <w:tcPr>
            <w:tcW w:type="dxa" w:w="2422"/>
          </w:tcPr>
          <w:p>
            <w:r>
              <w:t>Person/Firma</w:t>
            </w:r>
          </w:p>
        </w:tc>
        <w:tc>
          <w:tcPr>
            <w:tcW w:type="dxa" w:w="2422"/>
          </w:tcPr>
          <w:p>
            <w:r>
              <w:t>Gemeldeter Anteil</w:t>
            </w:r>
          </w:p>
        </w:tc>
        <w:tc>
          <w:tcPr>
            <w:tcW w:type="dxa" w:w="2422"/>
          </w:tcPr>
          <w:p>
            <w:r>
              <w:t>Vorbehaltsvermerk</w:t>
            </w:r>
          </w:p>
        </w:tc>
      </w:tr>
      <w:tr>
        <w:tc>
          <w:tcPr>
            <w:tcW w:type="dxa" w:w="2422"/>
          </w:tcPr>
          <w:p>
            <w:r>
              <w:t>Komponist</w:t>
            </w:r>
          </w:p>
        </w:tc>
        <w:tc>
          <w:tcPr>
            <w:tcW w:type="dxa" w:w="2422"/>
          </w:tcPr>
          <w:p>
            <w:r>
              <w:t>Maralda Auerbach</w:t>
            </w:r>
          </w:p>
        </w:tc>
        <w:tc>
          <w:tcPr>
            <w:tcW w:type="dxa" w:w="2422"/>
          </w:tcPr>
          <w:p>
            <w:r>
              <w:t>65 %</w:t>
            </w:r>
          </w:p>
        </w:tc>
        <w:tc>
          <w:tcPr>
            <w:tcW w:type="dxa" w:w="2422"/>
          </w:tcPr>
          <w:p>
            <w:r>
              <w:t>Anteil Henning Valtin streitig, siehe Aktenstueck 03</w:t>
            </w:r>
          </w:p>
        </w:tc>
      </w:tr>
      <w:tr>
        <w:tc>
          <w:tcPr>
            <w:tcW w:type="dxa" w:w="2422"/>
          </w:tcPr>
          <w:p>
            <w:r>
              <w:t>Komponist (streitig)</w:t>
            </w:r>
          </w:p>
        </w:tc>
        <w:tc>
          <w:tcPr>
            <w:tcW w:type="dxa" w:w="2422"/>
          </w:tcPr>
          <w:p>
            <w:r>
              <w:t>Henning Valtin</w:t>
            </w:r>
          </w:p>
        </w:tc>
        <w:tc>
          <w:tcPr>
            <w:tcW w:type="dxa" w:w="2422"/>
          </w:tcPr>
          <w:p>
            <w:r>
              <w:t>35 %</w:t>
            </w:r>
          </w:p>
        </w:tc>
        <w:tc>
          <w:tcPr>
            <w:tcW w:type="dxa" w:w="2422"/>
          </w:tcPr>
          <w:p>
            <w:r>
              <w:t>Anmeldung erfolgt vorsorglich, kein Anerkenntnis</w:t>
            </w:r>
          </w:p>
        </w:tc>
      </w:tr>
      <w:tr>
        <w:tc>
          <w:tcPr>
            <w:tcW w:type="dxa" w:w="2422"/>
          </w:tcPr>
          <w:p>
            <w:r>
              <w:t>Textdichterin</w:t>
            </w:r>
          </w:p>
        </w:tc>
        <w:tc>
          <w:tcPr>
            <w:tcW w:type="dxa" w:w="2422"/>
          </w:tcPr>
          <w:p>
            <w:r>
              <w:t>Fredwina Zornau</w:t>
            </w:r>
          </w:p>
        </w:tc>
        <w:tc>
          <w:tcPr>
            <w:tcW w:type="dxa" w:w="2422"/>
          </w:tcPr>
          <w:p>
            <w:r>
              <w:t>60 %</w:t>
            </w:r>
          </w:p>
        </w:tc>
        <w:tc>
          <w:tcPr>
            <w:tcW w:type="dxa" w:w="2422"/>
          </w:tcPr>
          <w:p>
            <w:r>
              <w:t>Umfang KI-Bearbeitung streitig, siehe Aktenstueck 02</w:t>
            </w:r>
          </w:p>
        </w:tc>
      </w:tr>
      <w:tr>
        <w:tc>
          <w:tcPr>
            <w:tcW w:type="dxa" w:w="2422"/>
          </w:tcPr>
          <w:p>
            <w:r>
              <w:t>Textdichterin</w:t>
            </w:r>
          </w:p>
        </w:tc>
        <w:tc>
          <w:tcPr>
            <w:tcW w:type="dxa" w:w="2422"/>
          </w:tcPr>
          <w:p>
            <w:r>
              <w:t>Maralda Auerbach</w:t>
            </w:r>
          </w:p>
        </w:tc>
        <w:tc>
          <w:tcPr>
            <w:tcW w:type="dxa" w:w="2422"/>
          </w:tcPr>
          <w:p>
            <w:r>
              <w:t>40 %</w:t>
            </w:r>
          </w:p>
        </w:tc>
        <w:tc>
          <w:tcPr>
            <w:tcW w:type="dxa" w:w="2422"/>
          </w:tcPr>
          <w:p>
            <w:r>
              <w:t>-</w:t>
            </w:r>
          </w:p>
        </w:tc>
      </w:tr>
      <w:tr>
        <w:tc>
          <w:tcPr>
            <w:tcW w:type="dxa" w:w="2422"/>
          </w:tcPr>
          <w:p>
            <w:r>
              <w:t>Verlag</w:t>
            </w:r>
          </w:p>
        </w:tc>
        <w:tc>
          <w:tcPr>
            <w:tcW w:type="dxa" w:w="2422"/>
          </w:tcPr>
          <w:p>
            <w:r>
              <w:t>Musikverlag Silberfarn Edition KG</w:t>
            </w:r>
          </w:p>
        </w:tc>
        <w:tc>
          <w:tcPr>
            <w:tcW w:type="dxa" w:w="2422"/>
          </w:tcPr>
          <w:p>
            <w:r>
              <w:t>Verlagsanteil laut Rahmenvertrag</w:t>
            </w:r>
          </w:p>
        </w:tc>
        <w:tc>
          <w:tcPr>
            <w:tcW w:type="dxa" w:w="2422"/>
          </w:tcPr>
          <w:p>
            <w:r>
              <w:t>Vertrag noch nicht final unterzeichnet</w:t>
            </w:r>
          </w:p>
        </w:tc>
      </w:tr>
    </w:tbl>
    <w:p>
      <w:pPr>
        <w:pStyle w:val="Heading2"/>
      </w:pPr>
      <w:r>
        <w:t>3. Aenderungslog</w:t>
      </w:r>
    </w:p>
    <w:p>
      <w:pPr>
        <w:pStyle w:val="ListBullet"/>
      </w:pPr>
      <w:r>
        <w:t>22.05.2026: Erstentwurf auf Basis Cue-Sheet vom 20.05.2026 erstellt.</w:t>
      </w:r>
    </w:p>
    <w:p>
      <w:pPr>
        <w:pStyle w:val="ListBullet"/>
      </w:pPr>
      <w:r>
        <w:t>02.06.2026: Anteile nach vorlaeufigem Sachverstaendigengutachten (Aktenstueck 16) nicht veraendert, aber Vorbehaltsvermerke praezisiert.</w:t>
      </w:r>
    </w:p>
    <w:p>
      <w:pPr>
        <w:pStyle w:val="ListBullet"/>
      </w:pPr>
      <w:r>
        <w:t>Naechster Pruefpunkt: nach Vorliegen des Endgutachtens und Abschluss der Verlagsverhandlung Silberfarn.</w:t>
      </w:r>
    </w:p>
    <w:p>
      <w:pPr>
        <w:pStyle w:val="Heading2"/>
      </w:pPr>
      <w:r>
        <w:t>4. Hinweis zur Meldepraxis</w:t>
      </w:r>
    </w:p>
    <w:p>
      <w:r>
        <w:t>Die Meldung mit Vorbehalt folgt der internen Empfehlung aus Aktenstueck 12: Erst die Rechtekette plausibilisieren, dann melden, bei Fristdruck mit Vorbehalt und Aenderungslog arbeiten. Eine spaetere Korrekturmeldung bleibt jederzeit moeglich, ist aber mit Verwaltungsaufwand bei der GEMA verbunden und sollte auf das Notwendige beschraenkt bleiben.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