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Airbus Financial Services (Dublin) Designated Activity Company ./. Flughafen Dortmund GmbH u.a. - Az. 3-08 O 66/26 LG Frankfurt am Main</w:t>
      </w:r>
    </w:p>
    <w:p>
      <w:pPr>
        <w:pStyle w:val="Heading1"/>
      </w:pPr>
      <w:r>
        <w:t>Interne Alternativpruefung: Teilezerlegung (Part-Out) als Verwertungsoption</w:t>
      </w:r>
    </w:p>
    <w:p>
      <w:r>
        <w:t>Vermerk der Airbus Financial Services vom 18.12.2025 zur Frage, ob im Falle einer gescheiterten Einigung mit dem Flughafen eine Teilezerlegung (Part-Out) des Luftfahrzeugs wirtschaftlicher waere als die Rueckfuehrung in den Flugbetrieb.</w:t>
      </w:r>
    </w:p>
    <w:p>
      <w:r>
        <w:t>Ergebnis: Bei einem geschaetzten Erloes aus Triebwerken (2x CFM56-5B) von je USD 4.200.000,00 und Rumpf-/Ersatzteilwert von USD 6.800.000,00 waere ein Part-Out wirtschaftlich attraktiv, wuerde jedoch die Kaufoption der Halterin endgueltig vereiteln. Da eine einvernehmliche Freigabe erzielt wurde (siehe Vergleichsbeschluss), wird die Option nicht weiterverfolgt; das Luftfahrzeug wird nach Freigabe an einen neuen Leasingnehmer (SkyBridge Airlines) vermittelt.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