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International Registry (Aviareto, Dublin)</w:t>
      </w:r>
    </w:p>
    <w:p>
      <w:pPr>
        <w:pStyle w:val="Heading1"/>
      </w:pPr>
      <w:r>
        <w:t>Registerauszug mit Loeschungsvermerk International Interest</w:t>
      </w:r>
    </w:p>
    <w:p>
      <w:r>
        <w:t>Registration Number: CTC-2016-0304-AFS-6217</w:t>
      </w:r>
    </w:p>
    <w:p>
      <w:r>
        <w:t>Discharge Registration filed 25.01.2026 following amicable release of the aircraft and restructuring of the lease relationship with a new operator (SkyBridge Airlines).</w:t>
      </w:r>
    </w:p>
    <w:p>
      <w:r>
        <w:t>Status: International Interest geloescht am 25.01.2026, neue Registrierung zugunsten SkyBridge Airlines als neue Betreiberin (Registrierungsnummer CTC-2026-0125-AFS-6217).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