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Kanzlei Dr. Kaltenborn - interner Vermerk</w:t>
      </w:r>
    </w:p>
    <w:p>
      <w:pPr>
        <w:pStyle w:val="Heading1"/>
      </w:pPr>
      <w:r>
        <w:t>Anfechtungspruefung § 130 InsO - Zahlungen an Flughafen Dortmund im Dreimonatszeitraum</w:t>
      </w:r>
    </w:p>
    <w:p>
      <w:r>
        <w:t>Vermerk vom 02.02.2026. Zu pruefen ist, ob die von der WestAir Regional GmbH im Zeitraum August/September 2025 (also innerhalb der letzten drei Monate vor dem Eigenantrag vom 18.11.2025) an den Flughafen Dortmund geleisteten Zahlungen in Hoehe von insgesamt EUR 14.414,40 wegen kongruenter Deckung bei Kenntnis der (drohenden) Zahlungsunfaehigkeit gemaess § 130 InsO anfechtbar sind.</w:t>
      </w:r>
    </w:p>
    <w:p>
      <w:pPr>
        <w:pStyle w:val="Heading2"/>
      </w:pPr>
      <w:r>
        <w:t>Zwischenergebnis</w:t>
      </w:r>
    </w:p>
    <w:p>
      <w:r>
        <w:t>Da die Zahlungen laufende, im engen zeitlichen und sachlichen Zusammenhang mit der Gegenleistung (Landung, Vorfeldnutzung) stehende Entgelte betreffen, spricht viel fuer eine Behandlung als Bargeschaeft gemaess § 142 InsO, sodass eine Anfechtung nach vorlaeufiger Einschaetzung nicht in Betracht kommt. Eine abschliessende Pruefung erfolgt nach Vorlage der vollstaendigen Kontoauszuege.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