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Ilka Bernstorf | Insolvenzverwalterin | Mainz</w:t>
      </w:r>
    </w:p>
    <w:p>
      <w:pPr>
        <w:pStyle w:val="Heading1"/>
      </w:pPr>
      <w:r>
        <w:t>Replik zur Klageerwiderung</w:t>
      </w:r>
    </w:p>
    <w:p>
      <w:r>
        <w:t>Landgericht Mainz, Az. 8 O 214/26</w:t>
      </w:r>
    </w:p>
    <w:p>
      <w:pPr>
        <w:pStyle w:val="Heading2"/>
      </w:pPr>
      <w:r>
        <w:t>Erwiderung auf die Klageerwiderung</w:t>
      </w:r>
    </w:p>
    <w:p>
      <w:r>
        <w:t>Der Saisonalitaetseinwand ist unbegruendet: Ein Vorjahresvergleich der Bankspiegel zeigt, dass die Linienausnutzung im relevanten Zeitraum erstmals dauerhaft ueber 95 Prozent lag, waehrend in den Vorjahren saisonale Spitzen jeweils binnen vier bis sechs Wochen zurueckgefuehrt wurden. Die Verrechnung von Altkredit gegen neue Zahlungseingaenge stellt keinen Leistungsaustausch dar, da die Beklagte keine neue gleichwertige Gegenleistung in das Schuldnervermoegen erbracht hat; der Bargeschaeftseinwand nach Paragraf 142 InsO greift daher nicht.</w:t>
      </w:r>
    </w:p>
    <w:p/>
    <w:p>
      <w:r>
        <w:t>Dr. Ilka Bernstorf, Rechtsanwaeltin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