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9A82" w14:textId="795EA268" w:rsidR="00EA654A" w:rsidRPr="00EA654A" w:rsidRDefault="00EA654A" w:rsidP="00EA654A">
      <w:pPr>
        <w:jc w:val="center"/>
        <w:rPr>
          <w:rFonts w:cstheme="minorHAnsi"/>
          <w:b/>
          <w:bCs/>
          <w:sz w:val="40"/>
          <w:szCs w:val="40"/>
        </w:rPr>
      </w:pPr>
      <w:r w:rsidRPr="00EA654A">
        <w:rPr>
          <w:rFonts w:cstheme="minorHAnsi"/>
          <w:b/>
          <w:bCs/>
          <w:sz w:val="40"/>
          <w:szCs w:val="40"/>
        </w:rPr>
        <w:t>Shri-</w:t>
      </w:r>
      <w:proofErr w:type="spellStart"/>
      <w:r w:rsidRPr="00EA654A">
        <w:rPr>
          <w:rFonts w:cstheme="minorHAnsi"/>
          <w:b/>
          <w:bCs/>
          <w:sz w:val="40"/>
          <w:szCs w:val="40"/>
        </w:rPr>
        <w:t>harsha</w:t>
      </w:r>
      <w:proofErr w:type="spellEnd"/>
    </w:p>
    <w:p w14:paraId="3E8963FF" w14:textId="77777777" w:rsidR="00EA654A" w:rsidRPr="00EA654A" w:rsidRDefault="00EA654A" w:rsidP="00EA654A">
      <w:pPr>
        <w:jc w:val="center"/>
        <w:rPr>
          <w:rFonts w:cstheme="minorHAnsi"/>
          <w:sz w:val="12"/>
          <w:szCs w:val="12"/>
        </w:rPr>
      </w:pPr>
    </w:p>
    <w:p w14:paraId="57E738E7" w14:textId="0EEC0AE0" w:rsidR="00EA654A" w:rsidRDefault="00EA654A" w:rsidP="00EA654A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5AF5FFDD" wp14:editId="4E402C30">
            <wp:extent cx="3261360" cy="4079754"/>
            <wp:effectExtent l="0" t="0" r="0" b="0"/>
            <wp:docPr id="3" name="Picture 3" descr="Srihar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rihars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20" cy="40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FA43" w14:textId="77777777" w:rsidR="00EA654A" w:rsidRPr="00EA654A" w:rsidRDefault="00EA654A" w:rsidP="00EA654A">
      <w:pPr>
        <w:jc w:val="center"/>
        <w:rPr>
          <w:rFonts w:cstheme="minorHAnsi"/>
          <w:sz w:val="12"/>
          <w:szCs w:val="12"/>
        </w:rPr>
      </w:pPr>
    </w:p>
    <w:p w14:paraId="5C7EE14A" w14:textId="4F21D081" w:rsidR="00EA654A" w:rsidRDefault="00EA654A" w:rsidP="00EA654A">
      <w:pPr>
        <w:pStyle w:val="first-paragraph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  <w:r w:rsidRPr="00EA654A">
        <w:rPr>
          <w:rFonts w:asciiTheme="minorHAnsi" w:hAnsiTheme="minorHAnsi" w:cstheme="minorHAnsi"/>
          <w:b/>
          <w:bCs/>
          <w:sz w:val="32"/>
          <w:szCs w:val="32"/>
        </w:rPr>
        <w:t>Shri-</w:t>
      </w:r>
      <w:proofErr w:type="spellStart"/>
      <w:r w:rsidRPr="00EA654A">
        <w:rPr>
          <w:rFonts w:asciiTheme="minorHAnsi" w:hAnsiTheme="minorHAnsi" w:cstheme="minorHAnsi"/>
          <w:b/>
          <w:bCs/>
          <w:sz w:val="32"/>
          <w:szCs w:val="32"/>
        </w:rPr>
        <w:t>harsha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 was a 12th century </w:t>
      </w:r>
      <w:hyperlink r:id="rId5" w:tooltip="Sanskrit" w:history="1">
        <w:r w:rsidRPr="00EA654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  <w:bdr w:val="none" w:sz="0" w:space="0" w:color="auto" w:frame="1"/>
          </w:rPr>
          <w:t>Sanskrit</w:t>
        </w:r>
      </w:hyperlink>
      <w:r w:rsidRPr="00EA654A">
        <w:rPr>
          <w:rFonts w:asciiTheme="minorHAnsi" w:hAnsiTheme="minorHAnsi" w:cstheme="minorHAnsi"/>
          <w:sz w:val="32"/>
          <w:szCs w:val="32"/>
        </w:rPr>
        <w:t xml:space="preserve"> very intelligent philosopher,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bhakt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, poet from India. He was so intelligent that he </w:t>
      </w:r>
      <w:proofErr w:type="gramStart"/>
      <w:r w:rsidRPr="00EA654A">
        <w:rPr>
          <w:rFonts w:asciiTheme="minorHAnsi" w:hAnsiTheme="minorHAnsi" w:cstheme="minorHAnsi"/>
          <w:sz w:val="32"/>
          <w:szCs w:val="32"/>
        </w:rPr>
        <w:t>challenge</w:t>
      </w:r>
      <w:proofErr w:type="gramEnd"/>
      <w:r w:rsidRPr="00EA654A">
        <w:rPr>
          <w:rFonts w:asciiTheme="minorHAnsi" w:hAnsiTheme="minorHAnsi" w:cstheme="minorHAnsi"/>
          <w:sz w:val="32"/>
          <w:szCs w:val="32"/>
        </w:rPr>
        <w:t xml:space="preserve"> to find mistake in his poet to goddess Sarswati. </w:t>
      </w:r>
    </w:p>
    <w:p w14:paraId="5F48C824" w14:textId="77777777" w:rsidR="00EA654A" w:rsidRPr="00EA654A" w:rsidRDefault="00EA654A" w:rsidP="00EA654A">
      <w:pPr>
        <w:pStyle w:val="first-paragraph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14:paraId="2BA29A5C" w14:textId="21EAFE13" w:rsidR="00EA654A" w:rsidRPr="00EA654A" w:rsidRDefault="00EA654A" w:rsidP="00EA654A">
      <w:pPr>
        <w:pStyle w:val="first-paragraph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40"/>
          <w:szCs w:val="40"/>
        </w:rPr>
      </w:pPr>
      <w:r w:rsidRPr="00EA654A">
        <w:rPr>
          <w:rFonts w:asciiTheme="minorHAnsi" w:hAnsiTheme="minorHAnsi" w:cstheme="minorHAnsi"/>
          <w:b/>
          <w:bCs/>
          <w:sz w:val="40"/>
          <w:szCs w:val="40"/>
        </w:rPr>
        <w:t>Early Life</w:t>
      </w:r>
    </w:p>
    <w:p w14:paraId="0A95B8E4" w14:textId="77777777" w:rsidR="00EA654A" w:rsidRPr="00EA654A" w:rsidRDefault="00EA654A" w:rsidP="00EA654A">
      <w:pPr>
        <w:pStyle w:val="first-paragraph"/>
        <w:spacing w:before="0" w:beforeAutospacing="0" w:after="0" w:afterAutospacing="0" w:line="360" w:lineRule="auto"/>
        <w:rPr>
          <w:rFonts w:asciiTheme="minorHAnsi" w:hAnsiTheme="minorHAnsi" w:cstheme="minorHAnsi"/>
          <w:sz w:val="12"/>
          <w:szCs w:val="12"/>
        </w:rPr>
      </w:pPr>
    </w:p>
    <w:p w14:paraId="2CE2B09C" w14:textId="207E65E1" w:rsid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EA654A">
        <w:rPr>
          <w:rFonts w:asciiTheme="minorHAnsi" w:hAnsiTheme="minorHAnsi" w:cstheme="minorHAnsi"/>
          <w:sz w:val="32"/>
          <w:szCs w:val="32"/>
        </w:rPr>
        <w:t>Śrīharṣa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was the son of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Śrīhira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and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Mamalladevī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. His father,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Śrīhira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, was a poet in the court of the 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fldChar w:fldCharType="begin"/>
      </w:r>
      <w:r w:rsidRPr="00EA654A">
        <w:rPr>
          <w:rFonts w:asciiTheme="minorHAnsi" w:hAnsiTheme="minorHAnsi" w:cstheme="minorHAnsi"/>
          <w:sz w:val="32"/>
          <w:szCs w:val="32"/>
        </w:rPr>
        <w:instrText xml:space="preserve"> HYPERLINK "https://www.wikiwand.com/en/Gahadavala" \o "Gahadavala" </w:instrText>
      </w:r>
      <w:r w:rsidRPr="00EA654A">
        <w:rPr>
          <w:rFonts w:asciiTheme="minorHAnsi" w:hAnsiTheme="minorHAnsi" w:cstheme="minorHAnsi"/>
          <w:sz w:val="32"/>
          <w:szCs w:val="32"/>
        </w:rPr>
        <w:fldChar w:fldCharType="separate"/>
      </w:r>
      <w:r w:rsidRPr="00EA654A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  <w:bdr w:val="none" w:sz="0" w:space="0" w:color="auto" w:frame="1"/>
        </w:rPr>
        <w:t>Gahadavala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fldChar w:fldCharType="end"/>
      </w:r>
      <w:r w:rsidRPr="00EA654A">
        <w:rPr>
          <w:rFonts w:asciiTheme="minorHAnsi" w:hAnsiTheme="minorHAnsi" w:cstheme="minorHAnsi"/>
          <w:sz w:val="32"/>
          <w:szCs w:val="32"/>
        </w:rPr>
        <w:t> king 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fldChar w:fldCharType="begin"/>
      </w:r>
      <w:r w:rsidRPr="00EA654A">
        <w:rPr>
          <w:rFonts w:asciiTheme="minorHAnsi" w:hAnsiTheme="minorHAnsi" w:cstheme="minorHAnsi"/>
          <w:sz w:val="32"/>
          <w:szCs w:val="32"/>
        </w:rPr>
        <w:instrText xml:space="preserve"> HYPERLINK "https://www.wikiwand.com/en/Vijayachandra" </w:instrText>
      </w:r>
      <w:r w:rsidRPr="00EA654A">
        <w:rPr>
          <w:rFonts w:asciiTheme="minorHAnsi" w:hAnsiTheme="minorHAnsi" w:cstheme="minorHAnsi"/>
          <w:sz w:val="32"/>
          <w:szCs w:val="32"/>
        </w:rPr>
        <w:fldChar w:fldCharType="separate"/>
      </w:r>
      <w:r w:rsidRPr="00EA654A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  <w:bdr w:val="none" w:sz="0" w:space="0" w:color="auto" w:frame="1"/>
        </w:rPr>
        <w:t>Vijayachandra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fldChar w:fldCharType="end"/>
      </w:r>
      <w:r w:rsidRPr="00EA654A">
        <w:rPr>
          <w:rFonts w:asciiTheme="minorHAnsi" w:hAnsiTheme="minorHAnsi" w:cstheme="minorHAnsi"/>
          <w:sz w:val="32"/>
          <w:szCs w:val="32"/>
        </w:rPr>
        <w:t xml:space="preserve">. His father was also guiding and diverting common people towards </w:t>
      </w:r>
      <w:proofErr w:type="gramStart"/>
      <w:r w:rsidRPr="00EA654A">
        <w:rPr>
          <w:rFonts w:asciiTheme="minorHAnsi" w:hAnsiTheme="minorHAnsi" w:cstheme="minorHAnsi"/>
          <w:sz w:val="32"/>
          <w:szCs w:val="32"/>
        </w:rPr>
        <w:t>god</w:t>
      </w:r>
      <w:proofErr w:type="gramEnd"/>
      <w:r w:rsidRPr="00EA654A">
        <w:rPr>
          <w:rFonts w:asciiTheme="minorHAnsi" w:hAnsiTheme="minorHAnsi" w:cstheme="minorHAnsi"/>
          <w:sz w:val="32"/>
          <w:szCs w:val="32"/>
        </w:rPr>
        <w:t xml:space="preserve"> with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veda's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, Bhagavad Gita's thoughts. His father asked Harsha at the time of death to study well </w:t>
      </w:r>
      <w:r w:rsidRPr="00EA654A">
        <w:rPr>
          <w:rFonts w:asciiTheme="minorHAnsi" w:hAnsiTheme="minorHAnsi" w:cstheme="minorHAnsi"/>
          <w:sz w:val="32"/>
          <w:szCs w:val="32"/>
        </w:rPr>
        <w:lastRenderedPageBreak/>
        <w:t xml:space="preserve">and become pandit. Then, use his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shiksha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(education) towards making life of people divine and better. Also, asked to take thoughts of Bhagavad Gita to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every one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. Harsha went to gurukul for education and study under Guru's guidance. He mastered all scriptures and all schools of thoughts prevailing at that time. He wrote unparalleled book (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granth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), </w:t>
      </w:r>
      <w:proofErr w:type="spellStart"/>
      <w:r w:rsidRPr="00EA654A">
        <w:rPr>
          <w:rFonts w:ascii="Nirmala UI" w:hAnsi="Nirmala UI" w:cs="Nirmala UI" w:hint="cs"/>
          <w:sz w:val="32"/>
          <w:szCs w:val="32"/>
          <w:cs/>
          <w:lang w:bidi="hi-IN"/>
        </w:rPr>
        <w:t>खण्डन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-</w:t>
      </w:r>
      <w:r w:rsidRPr="00EA654A">
        <w:rPr>
          <w:rFonts w:ascii="Nirmala UI" w:hAnsi="Nirmala UI" w:cs="Nirmala UI" w:hint="cs"/>
          <w:sz w:val="32"/>
          <w:szCs w:val="32"/>
          <w:cs/>
          <w:lang w:bidi="hi-IN"/>
        </w:rPr>
        <w:t>खण्ड</w:t>
      </w:r>
      <w:r w:rsidRPr="00EA654A">
        <w:rPr>
          <w:rFonts w:asciiTheme="minorHAnsi" w:hAnsiTheme="minorHAnsi" w:cstheme="minorHAnsi"/>
          <w:sz w:val="32"/>
          <w:szCs w:val="32"/>
        </w:rPr>
        <w:t>-</w:t>
      </w:r>
      <w:r w:rsidRPr="00EA654A">
        <w:rPr>
          <w:rFonts w:ascii="Nirmala UI" w:hAnsi="Nirmala UI" w:cs="Nirmala UI" w:hint="cs"/>
          <w:sz w:val="32"/>
          <w:szCs w:val="32"/>
          <w:cs/>
          <w:lang w:bidi="hi-IN"/>
        </w:rPr>
        <w:t>खाद्य</w:t>
      </w:r>
      <w:r w:rsidRPr="00EA654A">
        <w:rPr>
          <w:rFonts w:asciiTheme="minorHAnsi" w:hAnsiTheme="minorHAnsi" w:cstheme="minorHAnsi"/>
          <w:sz w:val="32"/>
          <w:szCs w:val="32"/>
        </w:rPr>
        <w:t xml:space="preserve">, on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advait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proofErr w:type="gramStart"/>
      <w:r w:rsidRPr="00EA654A">
        <w:rPr>
          <w:rFonts w:asciiTheme="minorHAnsi" w:hAnsiTheme="minorHAnsi" w:cstheme="minorHAnsi"/>
          <w:sz w:val="32"/>
          <w:szCs w:val="32"/>
        </w:rPr>
        <w:t>vedant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.</w:t>
      </w:r>
      <w:r w:rsidRPr="00EA654A">
        <w:rPr>
          <w:rFonts w:asciiTheme="minorHAnsi" w:hAnsiTheme="minorHAnsi" w:cstheme="minorHAnsi"/>
          <w:sz w:val="32"/>
          <w:szCs w:val="32"/>
          <w:bdr w:val="none" w:sz="0" w:space="0" w:color="auto" w:frame="1"/>
          <w:vertAlign w:val="superscript"/>
        </w:rPr>
        <w:t>[</w:t>
      </w:r>
      <w:proofErr w:type="gramEnd"/>
      <w:r w:rsidRPr="00EA654A">
        <w:rPr>
          <w:rFonts w:asciiTheme="minorHAnsi" w:hAnsiTheme="minorHAnsi" w:cstheme="minorHAnsi"/>
          <w:sz w:val="32"/>
          <w:szCs w:val="32"/>
        </w:rPr>
        <w:t xml:space="preserve">  In this book, he has refuted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Nyayadarshan's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principals.</w:t>
      </w:r>
    </w:p>
    <w:p w14:paraId="2C173BAF" w14:textId="77777777" w:rsidR="00EA654A" w:rsidRP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</w:p>
    <w:p w14:paraId="0F9E29D7" w14:textId="77777777" w:rsidR="00EA654A" w:rsidRPr="00EA654A" w:rsidRDefault="00EA654A" w:rsidP="00EA654A">
      <w:pPr>
        <w:pStyle w:val="Heading2"/>
        <w:spacing w:before="0" w:line="360" w:lineRule="auto"/>
        <w:rPr>
          <w:rFonts w:asciiTheme="minorHAnsi" w:hAnsiTheme="minorHAnsi" w:cstheme="minorHAnsi"/>
          <w:color w:val="auto"/>
          <w:sz w:val="40"/>
          <w:szCs w:val="40"/>
        </w:rPr>
      </w:pPr>
      <w:r w:rsidRPr="00EA654A">
        <w:rPr>
          <w:rStyle w:val="mw-headline"/>
          <w:rFonts w:asciiTheme="minorHAnsi" w:hAnsiTheme="minorHAnsi" w:cstheme="minorHAnsi"/>
          <w:b/>
          <w:bCs/>
          <w:color w:val="auto"/>
          <w:sz w:val="40"/>
          <w:szCs w:val="40"/>
          <w:bdr w:val="none" w:sz="0" w:space="0" w:color="auto" w:frame="1"/>
        </w:rPr>
        <w:t>Naishadha Charita</w:t>
      </w:r>
    </w:p>
    <w:p w14:paraId="0F5D0924" w14:textId="77777777" w:rsidR="00EA654A" w:rsidRP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16"/>
          <w:szCs w:val="16"/>
        </w:rPr>
      </w:pPr>
    </w:p>
    <w:p w14:paraId="41B7D66D" w14:textId="12598557" w:rsidR="00EA654A" w:rsidRP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EA654A">
        <w:rPr>
          <w:rFonts w:asciiTheme="minorHAnsi" w:hAnsiTheme="minorHAnsi" w:cstheme="minorHAnsi"/>
          <w:sz w:val="32"/>
          <w:szCs w:val="32"/>
        </w:rPr>
        <w:t>Śrīharṣa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composed the poem (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kāvya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) </w:t>
      </w:r>
      <w:hyperlink r:id="rId6" w:tooltip="Naishadha Charita" w:history="1">
        <w:r w:rsidRPr="00EA654A">
          <w:rPr>
            <w:rStyle w:val="Hyperlink"/>
            <w:rFonts w:asciiTheme="minorHAnsi" w:hAnsiTheme="minorHAnsi" w:cstheme="minorHAnsi"/>
            <w:i/>
            <w:iCs/>
            <w:color w:val="auto"/>
            <w:sz w:val="32"/>
            <w:szCs w:val="32"/>
            <w:u w:val="none"/>
            <w:bdr w:val="none" w:sz="0" w:space="0" w:color="auto" w:frame="1"/>
          </w:rPr>
          <w:t>Naishadha Charita</w:t>
        </w:r>
      </w:hyperlink>
      <w:r w:rsidRPr="00EA654A">
        <w:rPr>
          <w:rFonts w:asciiTheme="minorHAnsi" w:hAnsiTheme="minorHAnsi" w:cstheme="minorHAnsi"/>
          <w:sz w:val="32"/>
          <w:szCs w:val="32"/>
        </w:rPr>
        <w:t> (</w:t>
      </w:r>
      <w:hyperlink r:id="rId7" w:tooltip="IAST" w:history="1">
        <w:r w:rsidRPr="00EA654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  <w:bdr w:val="none" w:sz="0" w:space="0" w:color="auto" w:frame="1"/>
          </w:rPr>
          <w:t>IAST</w:t>
        </w:r>
      </w:hyperlink>
      <w:r w:rsidRPr="00EA654A">
        <w:rPr>
          <w:rFonts w:asciiTheme="minorHAnsi" w:hAnsiTheme="minorHAnsi" w:cstheme="minorHAnsi"/>
          <w:sz w:val="32"/>
          <w:szCs w:val="32"/>
        </w:rPr>
        <w:t>: 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Naiṣadhacarita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) in 1174, during the reign of the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Vijayachandra's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son </w:t>
      </w:r>
      <w:hyperlink r:id="rId8" w:history="1">
        <w:r w:rsidRPr="00EA654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  <w:bdr w:val="none" w:sz="0" w:space="0" w:color="auto" w:frame="1"/>
          </w:rPr>
          <w:t>Jayachandra</w:t>
        </w:r>
      </w:hyperlink>
      <w:r w:rsidRPr="00EA654A">
        <w:rPr>
          <w:rFonts w:asciiTheme="minorHAnsi" w:hAnsiTheme="minorHAnsi" w:cstheme="minorHAnsi"/>
          <w:sz w:val="32"/>
          <w:szCs w:val="32"/>
        </w:rPr>
        <w:t xml:space="preserve">. According to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Rājaśekhara's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 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fldChar w:fldCharType="begin"/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instrText xml:space="preserve"> HYPERLINK "https://www.wikiwand.com/en/Prabandha_Kosha" \o "Prabandha Kosha" </w:instrTex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fldChar w:fldCharType="separate"/>
      </w:r>
      <w:r w:rsidRPr="00EA654A">
        <w:rPr>
          <w:rStyle w:val="Hyperlink"/>
          <w:rFonts w:asciiTheme="minorHAnsi" w:hAnsiTheme="minorHAnsi" w:cstheme="minorHAnsi"/>
          <w:i/>
          <w:iCs/>
          <w:color w:val="auto"/>
          <w:sz w:val="32"/>
          <w:szCs w:val="32"/>
          <w:u w:val="none"/>
          <w:bdr w:val="none" w:sz="0" w:space="0" w:color="auto" w:frame="1"/>
        </w:rPr>
        <w:t>Prabandhakośa</w:t>
      </w:r>
      <w:proofErr w:type="spellEnd"/>
      <w:r w:rsidRPr="00EA654A">
        <w:rPr>
          <w:rFonts w:asciiTheme="minorHAnsi" w:hAnsiTheme="minorHAnsi" w:cstheme="minorHAnsi"/>
          <w:i/>
          <w:iCs/>
          <w:sz w:val="32"/>
          <w:szCs w:val="32"/>
        </w:rPr>
        <w:fldChar w:fldCharType="end"/>
      </w:r>
      <w:r w:rsidRPr="00EA654A">
        <w:rPr>
          <w:rFonts w:asciiTheme="minorHAnsi" w:hAnsiTheme="minorHAnsi" w:cstheme="minorHAnsi"/>
          <w:sz w:val="32"/>
          <w:szCs w:val="32"/>
        </w:rPr>
        <w:t>, upon the wide acceptance of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Naishadha Charita</w:t>
      </w:r>
      <w:r w:rsidRPr="00EA654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Śrīharṣa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was dignified with the title 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Narabharati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44A9EBB7" w14:textId="77777777" w:rsidR="00EA654A" w:rsidRP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  <w:r w:rsidRPr="00EA654A">
        <w:rPr>
          <w:rFonts w:asciiTheme="minorHAnsi" w:hAnsiTheme="minorHAnsi" w:cstheme="minorHAnsi"/>
          <w:sz w:val="32"/>
          <w:szCs w:val="32"/>
        </w:rPr>
        <w:t>The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Naishadha Charita</w:t>
      </w:r>
      <w:r w:rsidRPr="00EA654A">
        <w:rPr>
          <w:rFonts w:asciiTheme="minorHAnsi" w:hAnsiTheme="minorHAnsi" w:cstheme="minorHAnsi"/>
          <w:sz w:val="32"/>
          <w:szCs w:val="32"/>
        </w:rPr>
        <w:t> contains erotic themes, but according to the 15th-century Jain scholar 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fldChar w:fldCharType="begin"/>
      </w:r>
      <w:r w:rsidRPr="00EA654A">
        <w:rPr>
          <w:rFonts w:asciiTheme="minorHAnsi" w:hAnsiTheme="minorHAnsi" w:cstheme="minorHAnsi"/>
          <w:sz w:val="32"/>
          <w:szCs w:val="32"/>
        </w:rPr>
        <w:instrText xml:space="preserve"> HYPERLINK "https://www.wikiwand.com/en/Hammira_Mahakavya" \o "Hammira Mahakavya" </w:instrText>
      </w:r>
      <w:r w:rsidRPr="00EA654A">
        <w:rPr>
          <w:rFonts w:asciiTheme="minorHAnsi" w:hAnsiTheme="minorHAnsi" w:cstheme="minorHAnsi"/>
          <w:sz w:val="32"/>
          <w:szCs w:val="32"/>
        </w:rPr>
        <w:fldChar w:fldCharType="separate"/>
      </w:r>
      <w:r w:rsidRPr="00EA654A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  <w:bdr w:val="none" w:sz="0" w:space="0" w:color="auto" w:frame="1"/>
        </w:rPr>
        <w:t>Nayachandra</w:t>
      </w:r>
      <w:proofErr w:type="spellEnd"/>
      <w:r w:rsidRPr="00EA654A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  <w:bdr w:val="none" w:sz="0" w:space="0" w:color="auto" w:frame="1"/>
        </w:rPr>
        <w:t xml:space="preserve"> Suri</w:t>
      </w:r>
      <w:r w:rsidRPr="00EA654A">
        <w:rPr>
          <w:rFonts w:asciiTheme="minorHAnsi" w:hAnsiTheme="minorHAnsi" w:cstheme="minorHAnsi"/>
          <w:sz w:val="32"/>
          <w:szCs w:val="32"/>
        </w:rPr>
        <w:fldChar w:fldCharType="end"/>
      </w:r>
      <w:r w:rsidRPr="00EA654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Śrīharṣa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was actually a celibate, who had "conquered his sense organs" (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jitendriya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). </w:t>
      </w:r>
    </w:p>
    <w:p w14:paraId="45C49655" w14:textId="77777777" w:rsidR="00EA654A" w:rsidRP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  <w:r w:rsidRPr="00EA654A">
        <w:rPr>
          <w:rFonts w:asciiTheme="minorHAnsi" w:hAnsiTheme="minorHAnsi" w:cstheme="minorHAnsi"/>
          <w:sz w:val="32"/>
          <w:szCs w:val="32"/>
        </w:rPr>
        <w:t>The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Naishadha Charita</w:t>
      </w:r>
      <w:r w:rsidRPr="00EA654A">
        <w:rPr>
          <w:rFonts w:asciiTheme="minorHAnsi" w:hAnsiTheme="minorHAnsi" w:cstheme="minorHAnsi"/>
          <w:sz w:val="32"/>
          <w:szCs w:val="32"/>
        </w:rPr>
        <w:t> was brought into Gujarat by Harihara during the reign of 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fldChar w:fldCharType="begin"/>
      </w:r>
      <w:r w:rsidRPr="00EA654A">
        <w:rPr>
          <w:rFonts w:asciiTheme="minorHAnsi" w:hAnsiTheme="minorHAnsi" w:cstheme="minorHAnsi"/>
          <w:sz w:val="32"/>
          <w:szCs w:val="32"/>
        </w:rPr>
        <w:instrText xml:space="preserve"> HYPERLINK "https://www.wikiwand.com/en/Vaghela_dynasty" \l "Viradhavala" \o "Vaghela dynasty" </w:instrText>
      </w:r>
      <w:r w:rsidRPr="00EA654A">
        <w:rPr>
          <w:rFonts w:asciiTheme="minorHAnsi" w:hAnsiTheme="minorHAnsi" w:cstheme="minorHAnsi"/>
          <w:sz w:val="32"/>
          <w:szCs w:val="32"/>
        </w:rPr>
        <w:fldChar w:fldCharType="separate"/>
      </w:r>
      <w:r w:rsidRPr="00EA654A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  <w:bdr w:val="none" w:sz="0" w:space="0" w:color="auto" w:frame="1"/>
        </w:rPr>
        <w:t>Vīradhavala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fldChar w:fldCharType="end"/>
      </w:r>
      <w:r w:rsidRPr="00EA654A">
        <w:rPr>
          <w:rFonts w:asciiTheme="minorHAnsi" w:hAnsiTheme="minorHAnsi" w:cstheme="minorHAnsi"/>
          <w:sz w:val="32"/>
          <w:szCs w:val="32"/>
        </w:rPr>
        <w:t> to which Chandu Pandita in his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Dipika</w:t>
      </w:r>
      <w:r w:rsidRPr="00EA654A">
        <w:rPr>
          <w:rFonts w:asciiTheme="minorHAnsi" w:hAnsiTheme="minorHAnsi" w:cstheme="minorHAnsi"/>
          <w:sz w:val="32"/>
          <w:szCs w:val="32"/>
        </w:rPr>
        <w:t xml:space="preserve">, composed in 1296, refers to as a new poem and also to the commentary of 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t>Vidyādhara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.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Naishadha Charita</w:t>
      </w:r>
      <w:r w:rsidRPr="00EA654A">
        <w:rPr>
          <w:rFonts w:asciiTheme="minorHAnsi" w:hAnsiTheme="minorHAnsi" w:cstheme="minorHAnsi"/>
          <w:sz w:val="32"/>
          <w:szCs w:val="32"/>
        </w:rPr>
        <w:t> was composed earlier than 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Khaṇḍanakhaṇḍakhādya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 in which text Sriharsha alludes to the works of </w:t>
      </w:r>
      <w:hyperlink r:id="rId9" w:tooltip="Kalidasa" w:history="1">
        <w:r w:rsidRPr="00EA654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  <w:bdr w:val="none" w:sz="0" w:space="0" w:color="auto" w:frame="1"/>
          </w:rPr>
          <w:t>Kalidasa</w:t>
        </w:r>
      </w:hyperlink>
      <w:r w:rsidRPr="00EA654A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21C82654" w14:textId="58E5D2A5" w:rsidR="00EA654A" w:rsidRP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40"/>
          <w:szCs w:val="40"/>
        </w:rPr>
      </w:pPr>
      <w:r w:rsidRPr="00EA654A">
        <w:rPr>
          <w:rFonts w:asciiTheme="minorHAnsi" w:hAnsiTheme="minorHAnsi" w:cstheme="minorHAnsi"/>
          <w:b/>
          <w:bCs/>
          <w:sz w:val="40"/>
          <w:szCs w:val="40"/>
        </w:rPr>
        <w:lastRenderedPageBreak/>
        <w:t xml:space="preserve">Other Works </w:t>
      </w:r>
    </w:p>
    <w:p w14:paraId="3463B935" w14:textId="77777777" w:rsid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</w:p>
    <w:p w14:paraId="16732A20" w14:textId="03CEECEC" w:rsidR="00EA654A" w:rsidRP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EA654A">
        <w:rPr>
          <w:rFonts w:asciiTheme="minorHAnsi" w:hAnsiTheme="minorHAnsi" w:cstheme="minorHAnsi"/>
          <w:sz w:val="32"/>
          <w:szCs w:val="32"/>
        </w:rPr>
        <w:t>Śrīharṣa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spent his later life in ascetic serenity on the banks of River Ganga. He composed several other works, none of which are now available. These include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Vijayaprasasti</w:t>
      </w:r>
      <w:r w:rsidRPr="00EA654A">
        <w:rPr>
          <w:rFonts w:asciiTheme="minorHAnsi" w:hAnsiTheme="minorHAnsi" w:cstheme="minorHAnsi"/>
          <w:sz w:val="32"/>
          <w:szCs w:val="32"/>
        </w:rPr>
        <w:t>,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Chindaprasasti</w:t>
      </w:r>
      <w:r w:rsidRPr="00EA654A">
        <w:rPr>
          <w:rFonts w:asciiTheme="minorHAnsi" w:hAnsiTheme="minorHAnsi" w:cstheme="minorHAnsi"/>
          <w:sz w:val="32"/>
          <w:szCs w:val="32"/>
        </w:rPr>
        <w:t>,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Gaudorvisakulaprasasti</w:t>
      </w:r>
      <w:r w:rsidRPr="00EA654A">
        <w:rPr>
          <w:rFonts w:asciiTheme="minorHAnsi" w:hAnsiTheme="minorHAnsi" w:cstheme="minorHAnsi"/>
          <w:sz w:val="32"/>
          <w:szCs w:val="32"/>
        </w:rPr>
        <w:t>,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Sahasankacarita</w:t>
      </w:r>
      <w:r w:rsidRPr="00EA654A">
        <w:rPr>
          <w:rFonts w:asciiTheme="minorHAnsi" w:hAnsiTheme="minorHAnsi" w:cstheme="minorHAnsi"/>
          <w:sz w:val="32"/>
          <w:szCs w:val="32"/>
        </w:rPr>
        <w:t>,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Arnavavarnana</w:t>
      </w:r>
      <w:r w:rsidRPr="00EA654A">
        <w:rPr>
          <w:rFonts w:asciiTheme="minorHAnsi" w:hAnsiTheme="minorHAnsi" w:cstheme="minorHAnsi"/>
          <w:sz w:val="32"/>
          <w:szCs w:val="32"/>
        </w:rPr>
        <w:t> and </w:t>
      </w:r>
      <w:r w:rsidRPr="00EA654A">
        <w:rPr>
          <w:rFonts w:asciiTheme="minorHAnsi" w:hAnsiTheme="minorHAnsi" w:cstheme="minorHAnsi"/>
          <w:i/>
          <w:iCs/>
          <w:sz w:val="32"/>
          <w:szCs w:val="32"/>
        </w:rPr>
        <w:t>Amarakhandana</w:t>
      </w:r>
      <w:r w:rsidRPr="00EA654A">
        <w:rPr>
          <w:rFonts w:asciiTheme="minorHAnsi" w:hAnsiTheme="minorHAnsi" w:cstheme="minorHAnsi"/>
          <w:sz w:val="32"/>
          <w:szCs w:val="32"/>
        </w:rPr>
        <w:t> are now available. His 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Khaṇḍanakhaṇḍakhādya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 is a critique of the 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Śivabhaktisiddhi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 by </w:t>
      </w:r>
      <w:hyperlink r:id="rId10" w:tooltip="Udayana" w:history="1">
        <w:r w:rsidRPr="00EA654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  <w:bdr w:val="none" w:sz="0" w:space="0" w:color="auto" w:frame="1"/>
          </w:rPr>
          <w:t>Udayana</w:t>
        </w:r>
      </w:hyperlink>
      <w:r w:rsidRPr="00EA654A">
        <w:rPr>
          <w:rFonts w:asciiTheme="minorHAnsi" w:hAnsiTheme="minorHAnsi" w:cstheme="minorHAnsi"/>
          <w:sz w:val="32"/>
          <w:szCs w:val="32"/>
        </w:rPr>
        <w:t>, the </w:t>
      </w:r>
      <w:proofErr w:type="spellStart"/>
      <w:r w:rsidRPr="00EA654A">
        <w:rPr>
          <w:rFonts w:asciiTheme="minorHAnsi" w:hAnsiTheme="minorHAnsi" w:cstheme="minorHAnsi"/>
          <w:sz w:val="32"/>
          <w:szCs w:val="32"/>
        </w:rPr>
        <w:fldChar w:fldCharType="begin"/>
      </w:r>
      <w:r w:rsidRPr="00EA654A">
        <w:rPr>
          <w:rFonts w:asciiTheme="minorHAnsi" w:hAnsiTheme="minorHAnsi" w:cstheme="minorHAnsi"/>
          <w:sz w:val="32"/>
          <w:szCs w:val="32"/>
        </w:rPr>
        <w:instrText xml:space="preserve"> HYPERLINK "https://www.wikiwand.com/en/Nyaya" \o "Nyaya" </w:instrText>
      </w:r>
      <w:r w:rsidRPr="00EA654A">
        <w:rPr>
          <w:rFonts w:asciiTheme="minorHAnsi" w:hAnsiTheme="minorHAnsi" w:cstheme="minorHAnsi"/>
          <w:sz w:val="32"/>
          <w:szCs w:val="32"/>
        </w:rPr>
        <w:fldChar w:fldCharType="separate"/>
      </w:r>
      <w:r w:rsidRPr="00EA654A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  <w:bdr w:val="none" w:sz="0" w:space="0" w:color="auto" w:frame="1"/>
        </w:rPr>
        <w:t>Nyāya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fldChar w:fldCharType="end"/>
      </w:r>
      <w:r w:rsidRPr="00EA654A">
        <w:rPr>
          <w:rFonts w:asciiTheme="minorHAnsi" w:hAnsiTheme="minorHAnsi" w:cstheme="minorHAnsi"/>
          <w:sz w:val="32"/>
          <w:szCs w:val="32"/>
        </w:rPr>
        <w:t xml:space="preserve"> philosopher. </w:t>
      </w:r>
    </w:p>
    <w:p w14:paraId="5B23DDA6" w14:textId="77777777" w:rsidR="00EA654A" w:rsidRPr="00EA654A" w:rsidRDefault="00EA654A" w:rsidP="00EA654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EA654A">
        <w:rPr>
          <w:rFonts w:asciiTheme="minorHAnsi" w:hAnsiTheme="minorHAnsi" w:cstheme="minorHAnsi"/>
          <w:sz w:val="32"/>
          <w:szCs w:val="32"/>
        </w:rPr>
        <w:t>Śrīharṣa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 was also a philosopher; 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Khaṇḍanakhaṇḍakhādya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> or "Sugar-candy pieces of refutations," is a refutation of the doctrines of the </w:t>
      </w:r>
      <w:proofErr w:type="spellStart"/>
      <w:r w:rsidRPr="00EA654A">
        <w:rPr>
          <w:rFonts w:asciiTheme="minorHAnsi" w:hAnsiTheme="minorHAnsi" w:cstheme="minorHAnsi"/>
          <w:i/>
          <w:iCs/>
          <w:sz w:val="32"/>
          <w:szCs w:val="32"/>
        </w:rPr>
        <w:t>Nyāya</w:t>
      </w:r>
      <w:proofErr w:type="spellEnd"/>
      <w:r w:rsidRPr="00EA654A">
        <w:rPr>
          <w:rFonts w:asciiTheme="minorHAnsi" w:hAnsiTheme="minorHAnsi" w:cstheme="minorHAnsi"/>
          <w:sz w:val="32"/>
          <w:szCs w:val="32"/>
        </w:rPr>
        <w:t xml:space="preserve"> system of philosophy. </w:t>
      </w:r>
    </w:p>
    <w:p w14:paraId="09FB02D9" w14:textId="77777777" w:rsidR="00EA654A" w:rsidRPr="00EA654A" w:rsidRDefault="00EA654A" w:rsidP="00EA654A">
      <w:pPr>
        <w:spacing w:line="360" w:lineRule="auto"/>
        <w:rPr>
          <w:rFonts w:cstheme="minorHAnsi"/>
          <w:sz w:val="32"/>
          <w:szCs w:val="32"/>
        </w:rPr>
      </w:pPr>
    </w:p>
    <w:p w14:paraId="7DA8F4A1" w14:textId="77777777" w:rsidR="00EA654A" w:rsidRPr="00EA654A" w:rsidRDefault="00EA654A" w:rsidP="00EA654A">
      <w:pPr>
        <w:spacing w:line="360" w:lineRule="auto"/>
        <w:rPr>
          <w:rFonts w:cstheme="minorHAnsi"/>
          <w:sz w:val="32"/>
          <w:szCs w:val="32"/>
        </w:rPr>
      </w:pPr>
    </w:p>
    <w:p w14:paraId="2C6FC60E" w14:textId="4EFBF4B1" w:rsidR="005C7A39" w:rsidRPr="005C7A39" w:rsidRDefault="005C7A39" w:rsidP="005C7A39">
      <w:pPr>
        <w:pStyle w:val="comp"/>
        <w:spacing w:before="240" w:beforeAutospacing="0" w:line="360" w:lineRule="auto"/>
        <w:textAlignment w:val="baseline"/>
        <w:rPr>
          <w:rFonts w:asciiTheme="minorHAnsi" w:hAnsiTheme="minorHAnsi" w:cstheme="minorHAnsi"/>
        </w:rPr>
      </w:pPr>
    </w:p>
    <w:sectPr w:rsidR="005C7A39" w:rsidRPr="005C7A39" w:rsidSect="00B41C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2B5C"/>
    <w:rsid w:val="00072276"/>
    <w:rsid w:val="001472FB"/>
    <w:rsid w:val="002077EA"/>
    <w:rsid w:val="0040171E"/>
    <w:rsid w:val="00506BA5"/>
    <w:rsid w:val="00522B32"/>
    <w:rsid w:val="005C7A39"/>
    <w:rsid w:val="006861AC"/>
    <w:rsid w:val="00722B5C"/>
    <w:rsid w:val="00766612"/>
    <w:rsid w:val="008A1A3E"/>
    <w:rsid w:val="00956C17"/>
    <w:rsid w:val="009D77D0"/>
    <w:rsid w:val="00AA3800"/>
    <w:rsid w:val="00B04FFA"/>
    <w:rsid w:val="00B41CBF"/>
    <w:rsid w:val="00DB3102"/>
    <w:rsid w:val="00E05DC0"/>
    <w:rsid w:val="00E47D38"/>
    <w:rsid w:val="00EA654A"/>
    <w:rsid w:val="00E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6B8F"/>
  <w15:chartTrackingRefBased/>
  <w15:docId w15:val="{A8F96A84-292A-4C87-86DD-46196200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5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7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CB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1CBF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B4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7666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522B32"/>
  </w:style>
  <w:style w:type="character" w:customStyle="1" w:styleId="Heading2Char">
    <w:name w:val="Heading 2 Char"/>
    <w:basedOn w:val="DefaultParagraphFont"/>
    <w:link w:val="Heading2"/>
    <w:uiPriority w:val="9"/>
    <w:semiHidden/>
    <w:rsid w:val="002077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2077EA"/>
  </w:style>
  <w:style w:type="paragraph" w:customStyle="1" w:styleId="comp">
    <w:name w:val="comp"/>
    <w:basedOn w:val="Normal"/>
    <w:rsid w:val="0020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2077E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7E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w-editsection">
    <w:name w:val="mw-editsection"/>
    <w:basedOn w:val="DefaultParagraphFont"/>
    <w:rsid w:val="002077EA"/>
  </w:style>
  <w:style w:type="character" w:customStyle="1" w:styleId="mw-editsection-bracket">
    <w:name w:val="mw-editsection-bracket"/>
    <w:basedOn w:val="DefaultParagraphFont"/>
    <w:rsid w:val="002077EA"/>
  </w:style>
  <w:style w:type="character" w:styleId="Strong">
    <w:name w:val="Strong"/>
    <w:basedOn w:val="DefaultParagraphFont"/>
    <w:uiPriority w:val="22"/>
    <w:qFormat/>
    <w:rsid w:val="00AA38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C7A39"/>
    <w:rPr>
      <w:color w:val="605E5C"/>
      <w:shd w:val="clear" w:color="auto" w:fill="E1DFDD"/>
    </w:rPr>
  </w:style>
  <w:style w:type="paragraph" w:customStyle="1" w:styleId="first-paragraph">
    <w:name w:val="first-paragraph"/>
    <w:basedOn w:val="Normal"/>
    <w:uiPriority w:val="99"/>
    <w:semiHidden/>
    <w:rsid w:val="00EA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5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en/Jayachand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kiwand.com/en/IA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wand.com/en/Naishadha_Chari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kiwand.com/en/Sanskrit" TargetMode="External"/><Relationship Id="rId10" Type="http://schemas.openxmlformats.org/officeDocument/2006/relationships/hyperlink" Target="https://www.wikiwand.com/en/Udayana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wikiwand.com/en/Kalid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Murthy Polisetty - [28881]</dc:creator>
  <cp:keywords/>
  <dc:description/>
  <cp:lastModifiedBy>Venkata Ramana Murthy Polisetty</cp:lastModifiedBy>
  <cp:revision>10</cp:revision>
  <dcterms:created xsi:type="dcterms:W3CDTF">2021-05-13T14:12:00Z</dcterms:created>
  <dcterms:modified xsi:type="dcterms:W3CDTF">2021-06-04T06:39:00Z</dcterms:modified>
</cp:coreProperties>
</file>