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D046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ascii="Times New Roman" w:hAnsi="Times New Roman"/>
          <w:b/>
          <w:sz w:val="28"/>
          <w:szCs w:val="28"/>
          <w:highlight w:val="none"/>
        </w:rPr>
      </w:pPr>
      <w:r>
        <w:rPr>
          <w:rFonts w:hint="eastAsia" w:ascii="Times New Roman" w:hAnsi="Times New Roman"/>
          <w:b/>
          <w:sz w:val="28"/>
          <w:szCs w:val="28"/>
          <w:highlight w:val="none"/>
        </w:rPr>
        <w:t>第一</w:t>
      </w:r>
      <w:r>
        <w:rPr>
          <w:rFonts w:hint="eastAsia" w:ascii="Times New Roman" w:hAnsi="Times New Roman"/>
          <w:b/>
          <w:sz w:val="28"/>
          <w:szCs w:val="28"/>
          <w:highlight w:val="none"/>
          <w:lang w:val="en-US" w:eastAsia="zh-CN"/>
        </w:rPr>
        <w:t>章</w:t>
      </w:r>
      <w:r>
        <w:rPr>
          <w:rFonts w:hint="eastAsia" w:ascii="Times New Roman" w:hAnsi="Times New Roman"/>
          <w:b/>
          <w:sz w:val="28"/>
          <w:szCs w:val="28"/>
          <w:highlight w:val="none"/>
        </w:rPr>
        <w:t>：食品安全导论</w:t>
      </w:r>
    </w:p>
    <w:p w14:paraId="007DD96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ascii="Times New Roman" w:hAnsi="Times New Roman"/>
          <w:color w:val="auto"/>
          <w:sz w:val="24"/>
          <w:szCs w:val="24"/>
          <w:highlight w:val="none"/>
        </w:rPr>
        <w:t>1）食品安全概论</w:t>
      </w:r>
    </w:p>
    <w:p w14:paraId="7AFC119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了解国内外食品安全的现状；</w:t>
      </w:r>
    </w:p>
    <w:p w14:paraId="0FABF63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掌握食品安全与食品卫生的概念与区别，掌握食品生物危害、化学污染和物理污染的分类及内容</w:t>
      </w:r>
      <w:r>
        <w:rPr>
          <w:rFonts w:hint="eastAsia" w:ascii="Times New Roman" w:hAnsi="Times New Roman" w:eastAsia="宋体" w:cs="Times New Roman"/>
          <w:color w:val="auto"/>
          <w:kern w:val="2"/>
          <w:sz w:val="24"/>
          <w:szCs w:val="24"/>
          <w:highlight w:val="none"/>
          <w:lang w:val="en-US" w:eastAsia="zh-CN" w:bidi="ar-SA"/>
        </w:rPr>
        <w:t>；</w:t>
      </w:r>
    </w:p>
    <w:p w14:paraId="4199F68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了解食品安全的主要问题</w:t>
      </w:r>
      <w:r>
        <w:rPr>
          <w:rFonts w:hint="eastAsia" w:ascii="Times New Roman" w:hAnsi="Times New Roman" w:cs="Times New Roman"/>
          <w:color w:val="auto"/>
          <w:kern w:val="2"/>
          <w:sz w:val="24"/>
          <w:szCs w:val="24"/>
          <w:highlight w:val="none"/>
          <w:lang w:val="en-US" w:eastAsia="zh-CN" w:bidi="ar-SA"/>
        </w:rPr>
        <w:t>、</w:t>
      </w:r>
      <w:r>
        <w:rPr>
          <w:rFonts w:ascii="Times New Roman" w:hAnsi="Times New Roman" w:eastAsia="宋体" w:cs="Times New Roman"/>
          <w:color w:val="auto"/>
          <w:kern w:val="2"/>
          <w:sz w:val="24"/>
          <w:szCs w:val="24"/>
          <w:highlight w:val="none"/>
          <w:lang w:val="en-US" w:eastAsia="zh-CN" w:bidi="ar-SA"/>
        </w:rPr>
        <w:t>主要</w:t>
      </w:r>
      <w:r>
        <w:rPr>
          <w:rFonts w:hint="eastAsia" w:ascii="Times New Roman" w:hAnsi="Times New Roman" w:eastAsia="宋体" w:cs="Times New Roman"/>
          <w:color w:val="auto"/>
          <w:kern w:val="2"/>
          <w:sz w:val="24"/>
          <w:szCs w:val="24"/>
          <w:highlight w:val="none"/>
          <w:lang w:val="en-US" w:eastAsia="zh-CN" w:bidi="ar-SA"/>
        </w:rPr>
        <w:t>监测手段和国家食品安全保证能力建设；</w:t>
      </w:r>
    </w:p>
    <w:p w14:paraId="7B57D45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textAlignment w:val="auto"/>
        <w:rPr>
          <w:rFonts w:ascii="Times New Roman" w:hAnsi="Times New Roman"/>
          <w:color w:val="auto"/>
          <w:sz w:val="24"/>
          <w:szCs w:val="24"/>
          <w:highlight w:val="none"/>
        </w:rPr>
      </w:pPr>
      <w:r>
        <w:rPr>
          <w:rFonts w:ascii="Times New Roman" w:hAnsi="Times New Roman" w:eastAsia="宋体" w:cs="Times New Roman"/>
          <w:color w:val="auto"/>
          <w:kern w:val="2"/>
          <w:sz w:val="24"/>
          <w:szCs w:val="24"/>
          <w:lang w:val="en-US" w:eastAsia="zh-CN" w:bidi="ar-SA"/>
        </w:rPr>
        <w:t>（2）</w:t>
      </w:r>
      <w:r>
        <w:rPr>
          <w:rFonts w:ascii="Times New Roman" w:hAnsi="Times New Roman"/>
          <w:color w:val="auto"/>
          <w:sz w:val="24"/>
          <w:szCs w:val="24"/>
          <w:highlight w:val="none"/>
        </w:rPr>
        <w:t>危害分析与关键控制点</w:t>
      </w:r>
    </w:p>
    <w:p w14:paraId="0D431168">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leftChars="0" w:hanging="420" w:firstLine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lang w:val="en-US" w:eastAsia="zh-CN"/>
        </w:rPr>
        <w:t>了解GMP、SSOP、HACCP的概念；</w:t>
      </w:r>
    </w:p>
    <w:p w14:paraId="4BDE696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掌握HACCP中危害分析、关键控制点确定、关键限值建立、关键控制点监控措施</w:t>
      </w:r>
      <w:r>
        <w:rPr>
          <w:rFonts w:hint="eastAsia" w:ascii="Times New Roman" w:hAnsi="Times New Roman" w:eastAsia="宋体" w:cs="Times New Roman"/>
          <w:color w:val="auto"/>
          <w:kern w:val="2"/>
          <w:sz w:val="24"/>
          <w:szCs w:val="24"/>
          <w:highlight w:val="none"/>
          <w:lang w:val="en-US" w:eastAsia="zh-CN" w:bidi="ar-SA"/>
        </w:rPr>
        <w:t>的确定、校正措施的确定、验证程序的建立、有效记录保持程序的确定这</w:t>
      </w:r>
      <w:r>
        <w:rPr>
          <w:rFonts w:ascii="Times New Roman" w:hAnsi="Times New Roman" w:eastAsia="宋体" w:cs="Times New Roman"/>
          <w:color w:val="auto"/>
          <w:kern w:val="2"/>
          <w:sz w:val="24"/>
          <w:szCs w:val="24"/>
          <w:highlight w:val="none"/>
          <w:lang w:val="en-US" w:eastAsia="zh-CN" w:bidi="ar-SA"/>
        </w:rPr>
        <w:t>7个原理；</w:t>
      </w:r>
    </w:p>
    <w:p w14:paraId="18A9561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列举HACCP验证计划的具体案例</w:t>
      </w:r>
      <w:r>
        <w:rPr>
          <w:rFonts w:hint="eastAsia" w:ascii="Times New Roman" w:hAnsi="Times New Roman" w:cs="Times New Roman"/>
          <w:color w:val="auto"/>
          <w:kern w:val="2"/>
          <w:sz w:val="24"/>
          <w:szCs w:val="24"/>
          <w:highlight w:val="none"/>
          <w:lang w:val="en-US" w:eastAsia="zh-CN" w:bidi="ar-SA"/>
        </w:rPr>
        <w:t>；</w:t>
      </w:r>
    </w:p>
    <w:p w14:paraId="34FDAAE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（3）食品安全追溯体系</w:t>
      </w:r>
    </w:p>
    <w:p w14:paraId="4AFB793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w:t>
      </w:r>
      <w:r>
        <w:rPr>
          <w:rFonts w:hint="eastAsia" w:ascii="Times New Roman" w:hAnsi="Times New Roman" w:eastAsia="宋体" w:cs="Times New Roman"/>
          <w:color w:val="auto"/>
          <w:kern w:val="2"/>
          <w:sz w:val="24"/>
          <w:szCs w:val="24"/>
          <w:highlight w:val="none"/>
          <w:lang w:val="en-US" w:eastAsia="zh-CN" w:bidi="ar-SA"/>
        </w:rPr>
        <w:t>食品安全追溯体系</w:t>
      </w:r>
      <w:r>
        <w:rPr>
          <w:rFonts w:hint="eastAsia" w:ascii="Times New Roman" w:hAnsi="Times New Roman" w:cs="Times New Roman"/>
          <w:color w:val="auto"/>
          <w:kern w:val="2"/>
          <w:sz w:val="24"/>
          <w:szCs w:val="24"/>
          <w:highlight w:val="none"/>
          <w:lang w:val="en-US" w:eastAsia="zh-CN" w:bidi="ar-SA"/>
        </w:rPr>
        <w:t>的具体表现、追溯技术、</w:t>
      </w:r>
      <w:r>
        <w:rPr>
          <w:rFonts w:hint="eastAsia" w:ascii="Times New Roman" w:hAnsi="Times New Roman" w:eastAsia="宋体" w:cs="Times New Roman"/>
          <w:color w:val="auto"/>
          <w:kern w:val="2"/>
          <w:sz w:val="24"/>
          <w:szCs w:val="24"/>
          <w:highlight w:val="none"/>
          <w:lang w:val="en-US" w:eastAsia="zh-CN" w:bidi="ar-SA"/>
        </w:rPr>
        <w:t>现存问题和发展趋势</w:t>
      </w:r>
      <w:r>
        <w:rPr>
          <w:rFonts w:hint="eastAsia" w:ascii="Times New Roman" w:hAnsi="Times New Roman" w:cs="Times New Roman"/>
          <w:color w:val="auto"/>
          <w:kern w:val="2"/>
          <w:sz w:val="24"/>
          <w:szCs w:val="24"/>
          <w:highlight w:val="none"/>
          <w:lang w:val="en-US" w:eastAsia="zh-CN" w:bidi="ar-SA"/>
        </w:rPr>
        <w:t>；</w:t>
      </w:r>
    </w:p>
    <w:p w14:paraId="63E253AB">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食品包装中二维码和条形码的信息</w:t>
      </w:r>
      <w:r>
        <w:rPr>
          <w:rFonts w:hint="eastAsia" w:ascii="Times New Roman" w:hAnsi="Times New Roman" w:cs="Times New Roman"/>
          <w:color w:val="auto"/>
          <w:kern w:val="2"/>
          <w:sz w:val="24"/>
          <w:szCs w:val="24"/>
          <w:highlight w:val="none"/>
          <w:lang w:val="en-US" w:eastAsia="zh-CN" w:bidi="ar-SA"/>
        </w:rPr>
        <w:t>。</w:t>
      </w:r>
    </w:p>
    <w:p w14:paraId="33F927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eastAsia" w:ascii="Times New Roman" w:hAnsi="Times New Roman"/>
          <w:b/>
          <w:color w:val="auto"/>
          <w:sz w:val="28"/>
          <w:szCs w:val="28"/>
          <w:highlight w:val="none"/>
        </w:rPr>
      </w:pPr>
      <w:r>
        <w:rPr>
          <w:rFonts w:hint="eastAsia" w:ascii="Times New Roman" w:hAnsi="Times New Roman"/>
          <w:b/>
          <w:color w:val="auto"/>
          <w:sz w:val="28"/>
          <w:szCs w:val="28"/>
          <w:highlight w:val="none"/>
          <w:lang w:val="en-US" w:eastAsia="zh-CN"/>
        </w:rPr>
        <w:t>第二章</w:t>
      </w:r>
      <w:r>
        <w:rPr>
          <w:rFonts w:hint="eastAsia" w:ascii="Times New Roman" w:hAnsi="Times New Roman"/>
          <w:b/>
          <w:color w:val="auto"/>
          <w:sz w:val="28"/>
          <w:szCs w:val="28"/>
          <w:highlight w:val="none"/>
        </w:rPr>
        <w:t>：农药、兽药与重金属残留</w:t>
      </w:r>
    </w:p>
    <w:p w14:paraId="3054A18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eastAsia="宋体"/>
          <w:color w:val="auto"/>
          <w:sz w:val="24"/>
          <w:szCs w:val="24"/>
          <w:highlight w:val="none"/>
          <w:lang w:val="en-US" w:eastAsia="zh-CN"/>
        </w:rPr>
      </w:pPr>
      <w:r>
        <w:rPr>
          <w:rFonts w:hint="eastAsia" w:ascii="Times New Roman" w:hAnsi="Times New Roman"/>
          <w:color w:val="auto"/>
          <w:sz w:val="24"/>
          <w:szCs w:val="24"/>
          <w:highlight w:val="none"/>
        </w:rPr>
        <w:t>（</w:t>
      </w:r>
      <w:r>
        <w:rPr>
          <w:rFonts w:hint="eastAsia" w:ascii="Times New Roman" w:hAnsi="Times New Roman"/>
          <w:color w:val="auto"/>
          <w:sz w:val="24"/>
          <w:szCs w:val="24"/>
          <w:highlight w:val="none"/>
          <w:lang w:val="en-US" w:eastAsia="zh-CN"/>
        </w:rPr>
        <w:t>1</w:t>
      </w:r>
      <w:r>
        <w:rPr>
          <w:rFonts w:ascii="Times New Roman" w:hAnsi="Times New Roman"/>
          <w:color w:val="auto"/>
          <w:sz w:val="24"/>
          <w:szCs w:val="24"/>
          <w:highlight w:val="none"/>
        </w:rPr>
        <w:t>）</w:t>
      </w:r>
      <w:r>
        <w:rPr>
          <w:rFonts w:hint="eastAsia" w:ascii="Times New Roman" w:hAnsi="Times New Roman"/>
          <w:color w:val="auto"/>
          <w:sz w:val="24"/>
          <w:szCs w:val="24"/>
          <w:highlight w:val="none"/>
          <w:lang w:val="en-US" w:eastAsia="zh-CN"/>
        </w:rPr>
        <w:t>食品化学安全</w:t>
      </w:r>
    </w:p>
    <w:p w14:paraId="120015E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食品化学安全</w:t>
      </w:r>
      <w:r>
        <w:rPr>
          <w:rFonts w:hint="eastAsia" w:ascii="Times New Roman" w:hAnsi="Times New Roman" w:cs="Times New Roman"/>
          <w:color w:val="auto"/>
          <w:kern w:val="2"/>
          <w:sz w:val="24"/>
          <w:szCs w:val="24"/>
          <w:highlight w:val="none"/>
          <w:lang w:val="en-US" w:eastAsia="zh-CN" w:bidi="ar-SA"/>
        </w:rPr>
        <w:t>所包含的种类；</w:t>
      </w:r>
    </w:p>
    <w:p w14:paraId="7352BA1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hint="eastAsia" w:ascii="Times New Roman" w:hAnsi="Times New Roman"/>
          <w:color w:val="auto"/>
          <w:sz w:val="24"/>
          <w:szCs w:val="24"/>
          <w:highlight w:val="none"/>
          <w:lang w:val="en-US" w:eastAsia="zh-CN"/>
        </w:rPr>
        <w:t>2</w:t>
      </w:r>
      <w:r>
        <w:rPr>
          <w:rFonts w:ascii="Times New Roman" w:hAnsi="Times New Roman"/>
          <w:color w:val="auto"/>
          <w:sz w:val="24"/>
          <w:szCs w:val="24"/>
          <w:highlight w:val="none"/>
        </w:rPr>
        <w:t>）农药残留</w:t>
      </w:r>
    </w:p>
    <w:p w14:paraId="1940142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了解农药和农药残留的概念；</w:t>
      </w:r>
    </w:p>
    <w:p w14:paraId="5651C10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了解农药的种类和用途，重点掌握有机氯和有机磷类农药的种类、危害和</w:t>
      </w:r>
      <w:r>
        <w:rPr>
          <w:rFonts w:hint="eastAsia" w:ascii="Times New Roman" w:hAnsi="Times New Roman" w:eastAsia="宋体" w:cs="Times New Roman"/>
          <w:color w:val="auto"/>
          <w:kern w:val="2"/>
          <w:sz w:val="24"/>
          <w:szCs w:val="24"/>
          <w:highlight w:val="none"/>
          <w:lang w:val="en-US" w:eastAsia="zh-CN" w:bidi="ar-SA"/>
        </w:rPr>
        <w:t>食品中的残留；</w:t>
      </w:r>
    </w:p>
    <w:p w14:paraId="44957C6B">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我国的重要农药安全事件（毒豇豆、毒韭菜、毒生姜、红酒农药超标、立顿铁观音事件等）</w:t>
      </w:r>
      <w:r>
        <w:rPr>
          <w:rFonts w:hint="eastAsia" w:ascii="Times New Roman" w:hAnsi="Times New Roman" w:cs="Times New Roman"/>
          <w:color w:val="auto"/>
          <w:kern w:val="2"/>
          <w:sz w:val="24"/>
          <w:szCs w:val="24"/>
          <w:highlight w:val="none"/>
          <w:lang w:val="en-US" w:eastAsia="zh-CN" w:bidi="ar-SA"/>
        </w:rPr>
        <w:t>；</w:t>
      </w:r>
    </w:p>
    <w:p w14:paraId="1353361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理解生物富集效应；</w:t>
      </w:r>
    </w:p>
    <w:p w14:paraId="3E8D579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了解食品加工和烹调对食品中农药残留的影响</w:t>
      </w:r>
      <w:r>
        <w:rPr>
          <w:rFonts w:hint="eastAsia" w:ascii="Times New Roman" w:hAnsi="Times New Roman" w:eastAsia="宋体" w:cs="Times New Roman"/>
          <w:color w:val="auto"/>
          <w:kern w:val="2"/>
          <w:sz w:val="24"/>
          <w:szCs w:val="24"/>
          <w:highlight w:val="none"/>
          <w:lang w:val="en-US" w:eastAsia="zh-CN" w:bidi="ar-SA"/>
        </w:rPr>
        <w:t>；</w:t>
      </w:r>
    </w:p>
    <w:p w14:paraId="1E808A6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w:t>
      </w:r>
      <w:r>
        <w:rPr>
          <w:rFonts w:ascii="Times New Roman" w:hAnsi="Times New Roman" w:eastAsia="宋体" w:cs="Times New Roman"/>
          <w:color w:val="auto"/>
          <w:kern w:val="2"/>
          <w:sz w:val="24"/>
          <w:szCs w:val="24"/>
          <w:highlight w:val="none"/>
          <w:lang w:val="en-US" w:eastAsia="zh-CN" w:bidi="ar-SA"/>
        </w:rPr>
        <w:t>农药急性膳食暴露量和食品农药残留量的计算方法</w:t>
      </w:r>
      <w:r>
        <w:rPr>
          <w:rFonts w:hint="eastAsia" w:ascii="Times New Roman" w:hAnsi="Times New Roman" w:cs="Times New Roman"/>
          <w:color w:val="auto"/>
          <w:kern w:val="2"/>
          <w:sz w:val="24"/>
          <w:szCs w:val="24"/>
          <w:highlight w:val="none"/>
          <w:lang w:val="en-US" w:eastAsia="zh-CN" w:bidi="ar-SA"/>
        </w:rPr>
        <w:t>；</w:t>
      </w:r>
    </w:p>
    <w:p w14:paraId="49DF613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hint="eastAsia" w:ascii="Times New Roman" w:hAnsi="Times New Roman"/>
          <w:color w:val="auto"/>
          <w:sz w:val="24"/>
          <w:szCs w:val="24"/>
          <w:highlight w:val="none"/>
          <w:lang w:val="en-US" w:eastAsia="zh-CN"/>
        </w:rPr>
        <w:t>3</w:t>
      </w:r>
      <w:r>
        <w:rPr>
          <w:rFonts w:ascii="Times New Roman" w:hAnsi="Times New Roman"/>
          <w:color w:val="auto"/>
          <w:sz w:val="24"/>
          <w:szCs w:val="24"/>
          <w:highlight w:val="none"/>
        </w:rPr>
        <w:t>）兽药残留</w:t>
      </w:r>
    </w:p>
    <w:p w14:paraId="7D00593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lang w:val="en-US" w:eastAsia="zh-CN"/>
        </w:rPr>
        <w:t>了解重金属残留事件（多宝鱼、速生鸡和瘦肉精事件等）；</w:t>
      </w:r>
    </w:p>
    <w:p w14:paraId="6998178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了解兽药的种类和用途</w:t>
      </w:r>
      <w:r>
        <w:rPr>
          <w:rFonts w:hint="eastAsia" w:ascii="Times New Roman" w:hAnsi="Times New Roman" w:cs="Times New Roman"/>
          <w:color w:val="auto"/>
          <w:kern w:val="2"/>
          <w:sz w:val="24"/>
          <w:szCs w:val="24"/>
          <w:highlight w:val="none"/>
          <w:lang w:val="en-US" w:eastAsia="zh-CN" w:bidi="ar-SA"/>
        </w:rPr>
        <w:t>和</w:t>
      </w:r>
      <w:r>
        <w:rPr>
          <w:rFonts w:hint="eastAsia" w:ascii="Times New Roman" w:hAnsi="Times New Roman" w:eastAsia="宋体" w:cs="Times New Roman"/>
          <w:color w:val="auto"/>
          <w:kern w:val="2"/>
          <w:sz w:val="24"/>
          <w:szCs w:val="24"/>
          <w:highlight w:val="none"/>
          <w:lang w:val="en-US" w:eastAsia="zh-CN" w:bidi="ar-SA"/>
        </w:rPr>
        <w:t>进入动物体的主要途径，</w:t>
      </w:r>
      <w:r>
        <w:rPr>
          <w:rFonts w:ascii="Times New Roman" w:hAnsi="Times New Roman" w:eastAsia="宋体" w:cs="Times New Roman"/>
          <w:color w:val="auto"/>
          <w:kern w:val="2"/>
          <w:sz w:val="24"/>
          <w:szCs w:val="24"/>
          <w:highlight w:val="none"/>
          <w:lang w:val="en-US" w:eastAsia="zh-CN" w:bidi="ar-SA"/>
        </w:rPr>
        <w:t>重点掌握动物性食品中抗微生物兽药残留的来源与原因；</w:t>
      </w:r>
    </w:p>
    <w:p w14:paraId="1389682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了解兽药残留的主要危害</w:t>
      </w:r>
      <w:r>
        <w:rPr>
          <w:rFonts w:hint="eastAsia" w:ascii="Times New Roman" w:hAnsi="Times New Roman" w:cs="Times New Roman"/>
          <w:color w:val="auto"/>
          <w:kern w:val="2"/>
          <w:sz w:val="24"/>
          <w:szCs w:val="24"/>
          <w:highlight w:val="none"/>
          <w:lang w:val="en-US" w:eastAsia="zh-CN" w:bidi="ar-SA"/>
        </w:rPr>
        <w:t>；</w:t>
      </w:r>
    </w:p>
    <w:p w14:paraId="2CB1598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hint="eastAsia" w:ascii="Times New Roman" w:hAnsi="Times New Roman"/>
          <w:color w:val="auto"/>
          <w:sz w:val="24"/>
          <w:szCs w:val="24"/>
          <w:highlight w:val="none"/>
          <w:lang w:val="en-US" w:eastAsia="zh-CN"/>
        </w:rPr>
        <w:t>4</w:t>
      </w:r>
      <w:r>
        <w:rPr>
          <w:rFonts w:ascii="Times New Roman" w:hAnsi="Times New Roman"/>
          <w:color w:val="auto"/>
          <w:sz w:val="24"/>
          <w:szCs w:val="24"/>
          <w:highlight w:val="none"/>
        </w:rPr>
        <w:t>）重金属污染</w:t>
      </w:r>
    </w:p>
    <w:p w14:paraId="20D9DE4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了解重金属残留事件（镉大米</w:t>
      </w:r>
      <w:r>
        <w:rPr>
          <w:rFonts w:hint="eastAsia" w:ascii="Times New Roman" w:hAnsi="Times New Roman" w:cs="Times New Roman"/>
          <w:color w:val="auto"/>
          <w:kern w:val="2"/>
          <w:sz w:val="24"/>
          <w:szCs w:val="24"/>
          <w:highlight w:val="none"/>
          <w:lang w:val="en-US" w:eastAsia="zh-CN" w:bidi="ar-SA"/>
        </w:rPr>
        <w:t>、</w:t>
      </w:r>
      <w:r>
        <w:rPr>
          <w:rFonts w:hint="eastAsia" w:ascii="Times New Roman" w:hAnsi="Times New Roman" w:eastAsia="宋体" w:cs="Times New Roman"/>
          <w:color w:val="auto"/>
          <w:kern w:val="2"/>
          <w:sz w:val="24"/>
          <w:szCs w:val="24"/>
          <w:highlight w:val="none"/>
          <w:lang w:val="en-US" w:eastAsia="zh-CN" w:bidi="ar-SA"/>
        </w:rPr>
        <w:t>皮革酸奶</w:t>
      </w:r>
      <w:r>
        <w:rPr>
          <w:rFonts w:hint="eastAsia" w:ascii="Times New Roman" w:hAnsi="Times New Roman" w:cs="Times New Roman"/>
          <w:color w:val="auto"/>
          <w:kern w:val="2"/>
          <w:sz w:val="24"/>
          <w:szCs w:val="24"/>
          <w:highlight w:val="none"/>
          <w:lang w:val="en-US" w:eastAsia="zh-CN" w:bidi="ar-SA"/>
        </w:rPr>
        <w:t>、日本水俣病和湖南石门河水砷超标</w:t>
      </w:r>
      <w:r>
        <w:rPr>
          <w:rFonts w:hint="eastAsia" w:ascii="Times New Roman" w:hAnsi="Times New Roman" w:eastAsia="宋体" w:cs="Times New Roman"/>
          <w:color w:val="auto"/>
          <w:kern w:val="2"/>
          <w:sz w:val="24"/>
          <w:szCs w:val="24"/>
          <w:highlight w:val="none"/>
          <w:lang w:val="en-US" w:eastAsia="zh-CN" w:bidi="ar-SA"/>
        </w:rPr>
        <w:t>事件等）</w:t>
      </w:r>
      <w:r>
        <w:rPr>
          <w:rFonts w:hint="eastAsia" w:ascii="Times New Roman" w:hAnsi="Times New Roman" w:cs="Times New Roman"/>
          <w:color w:val="auto"/>
          <w:kern w:val="2"/>
          <w:sz w:val="24"/>
          <w:szCs w:val="24"/>
          <w:highlight w:val="none"/>
          <w:lang w:val="en-US" w:eastAsia="zh-CN" w:bidi="ar-SA"/>
        </w:rPr>
        <w:t>；</w:t>
      </w:r>
    </w:p>
    <w:p w14:paraId="3ED56F0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了解食品中有害金属的来源和毒作用特点；</w:t>
      </w:r>
    </w:p>
    <w:p w14:paraId="24359A4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掌握食品中铅污染的来源、铅对人体健康的影响、儿童铅中毒危害和防治措施；</w:t>
      </w:r>
    </w:p>
    <w:p w14:paraId="323135F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ascii="Times New Roman" w:hAnsi="Times New Roman"/>
          <w:b/>
          <w:color w:val="auto"/>
          <w:sz w:val="24"/>
          <w:szCs w:val="24"/>
          <w:highlight w:val="none"/>
        </w:rPr>
      </w:pPr>
      <w:r>
        <w:rPr>
          <w:rFonts w:ascii="Times New Roman" w:hAnsi="Times New Roman" w:eastAsia="宋体" w:cs="Times New Roman"/>
          <w:color w:val="auto"/>
          <w:kern w:val="2"/>
          <w:sz w:val="24"/>
          <w:szCs w:val="24"/>
          <w:highlight w:val="none"/>
          <w:lang w:val="en-US" w:eastAsia="zh-CN" w:bidi="ar-SA"/>
        </w:rPr>
        <w:t>了解铅、镉、汞和砷在蔬菜、水果、谷物、肉类、奶、水产品等食品中的风险评估</w:t>
      </w:r>
      <w:r>
        <w:rPr>
          <w:rFonts w:hint="eastAsia" w:ascii="Times New Roman" w:hAnsi="Times New Roman" w:eastAsia="宋体" w:cs="Times New Roman"/>
          <w:color w:val="auto"/>
          <w:kern w:val="2"/>
          <w:sz w:val="24"/>
          <w:szCs w:val="24"/>
          <w:highlight w:val="none"/>
          <w:lang w:val="en-US" w:eastAsia="zh-CN" w:bidi="ar-SA"/>
        </w:rPr>
        <w:t>情况</w:t>
      </w:r>
      <w:r>
        <w:rPr>
          <w:rFonts w:hint="eastAsia" w:ascii="Times New Roman" w:hAnsi="Times New Roman" w:cs="Times New Roman"/>
          <w:color w:val="auto"/>
          <w:kern w:val="2"/>
          <w:sz w:val="24"/>
          <w:szCs w:val="24"/>
          <w:highlight w:val="none"/>
          <w:lang w:val="en-US" w:eastAsia="zh-CN" w:bidi="ar-SA"/>
        </w:rPr>
        <w:t>。</w:t>
      </w:r>
    </w:p>
    <w:p w14:paraId="18579B2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ascii="Times New Roman" w:hAnsi="Times New Roman"/>
          <w:b/>
          <w:bCs w:val="0"/>
          <w:color w:val="auto"/>
          <w:sz w:val="28"/>
          <w:szCs w:val="28"/>
          <w:highlight w:val="none"/>
        </w:rPr>
      </w:pPr>
      <w:r>
        <w:rPr>
          <w:rFonts w:hint="eastAsia" w:ascii="Times New Roman" w:hAnsi="Times New Roman"/>
          <w:b/>
          <w:bCs w:val="0"/>
          <w:color w:val="auto"/>
          <w:sz w:val="28"/>
          <w:szCs w:val="28"/>
          <w:highlight w:val="none"/>
        </w:rPr>
        <w:t>第</w:t>
      </w:r>
      <w:r>
        <w:rPr>
          <w:rFonts w:hint="eastAsia" w:ascii="Times New Roman" w:hAnsi="Times New Roman"/>
          <w:b/>
          <w:bCs w:val="0"/>
          <w:color w:val="auto"/>
          <w:sz w:val="28"/>
          <w:szCs w:val="28"/>
          <w:highlight w:val="none"/>
          <w:lang w:val="en-US" w:eastAsia="zh-CN"/>
        </w:rPr>
        <w:t>三章</w:t>
      </w:r>
      <w:r>
        <w:rPr>
          <w:rFonts w:hint="eastAsia" w:ascii="Times New Roman" w:hAnsi="Times New Roman"/>
          <w:b/>
          <w:bCs w:val="0"/>
          <w:color w:val="auto"/>
          <w:sz w:val="28"/>
          <w:szCs w:val="28"/>
          <w:highlight w:val="none"/>
        </w:rPr>
        <w:t>：食品加工与环境暴露来源污染物</w:t>
      </w:r>
    </w:p>
    <w:p w14:paraId="58B0C40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ascii="Times New Roman" w:hAnsi="Times New Roman"/>
          <w:color w:val="auto"/>
          <w:sz w:val="24"/>
          <w:szCs w:val="24"/>
          <w:highlight w:val="none"/>
        </w:rPr>
        <w:t>1）食品加工</w:t>
      </w:r>
      <w:r>
        <w:rPr>
          <w:rFonts w:hint="eastAsia" w:ascii="Times New Roman" w:hAnsi="Times New Roman"/>
          <w:color w:val="auto"/>
          <w:sz w:val="24"/>
          <w:szCs w:val="24"/>
          <w:highlight w:val="none"/>
          <w:lang w:val="en-US" w:eastAsia="zh-CN"/>
        </w:rPr>
        <w:t>来源</w:t>
      </w:r>
      <w:r>
        <w:rPr>
          <w:rFonts w:ascii="Times New Roman" w:hAnsi="Times New Roman"/>
          <w:color w:val="auto"/>
          <w:sz w:val="24"/>
          <w:szCs w:val="24"/>
          <w:highlight w:val="none"/>
        </w:rPr>
        <w:t>污染物</w:t>
      </w:r>
    </w:p>
    <w:p w14:paraId="1CE5893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掌握</w:t>
      </w:r>
      <w:r>
        <w:rPr>
          <w:rFonts w:ascii="Times New Roman" w:hAnsi="Times New Roman" w:eastAsia="宋体" w:cs="Times New Roman"/>
          <w:color w:val="auto"/>
          <w:kern w:val="2"/>
          <w:sz w:val="24"/>
          <w:szCs w:val="24"/>
          <w:highlight w:val="none"/>
          <w:lang w:val="en-US" w:eastAsia="zh-CN" w:bidi="ar-SA"/>
        </w:rPr>
        <w:t>热加工食品中丙烯酰胺的食物分布</w:t>
      </w:r>
      <w:r>
        <w:rPr>
          <w:rFonts w:hint="eastAsia" w:ascii="Times New Roman" w:hAnsi="Times New Roman" w:eastAsia="宋体" w:cs="Times New Roman"/>
          <w:color w:val="auto"/>
          <w:kern w:val="2"/>
          <w:sz w:val="24"/>
          <w:szCs w:val="24"/>
          <w:highlight w:val="none"/>
          <w:lang w:val="en-US" w:eastAsia="zh-CN" w:bidi="ar-SA"/>
        </w:rPr>
        <w:t>、产生机理、性质和控制方案</w:t>
      </w:r>
      <w:r>
        <w:rPr>
          <w:rFonts w:ascii="Times New Roman" w:hAnsi="Times New Roman" w:eastAsia="宋体" w:cs="Times New Roman"/>
          <w:color w:val="auto"/>
          <w:kern w:val="2"/>
          <w:sz w:val="24"/>
          <w:szCs w:val="24"/>
          <w:highlight w:val="none"/>
          <w:lang w:val="en-US" w:eastAsia="zh-CN" w:bidi="ar-SA"/>
        </w:rPr>
        <w:t>；</w:t>
      </w:r>
    </w:p>
    <w:p w14:paraId="410BEA1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ascii="Times New Roman" w:hAnsi="Times New Roman" w:eastAsia="宋体" w:cs="Times New Roman"/>
          <w:color w:val="auto"/>
          <w:kern w:val="2"/>
          <w:sz w:val="24"/>
          <w:szCs w:val="24"/>
          <w:highlight w:val="none"/>
          <w:lang w:val="en-US" w:eastAsia="zh-CN" w:bidi="ar-SA"/>
        </w:rPr>
        <w:t>含油食品中氯丙醇酯与缩水甘油酯的</w:t>
      </w:r>
      <w:r>
        <w:rPr>
          <w:rFonts w:hint="eastAsia" w:ascii="Times New Roman" w:hAnsi="Times New Roman" w:eastAsia="宋体" w:cs="Times New Roman"/>
          <w:color w:val="auto"/>
          <w:kern w:val="2"/>
          <w:sz w:val="24"/>
          <w:szCs w:val="24"/>
          <w:highlight w:val="none"/>
          <w:lang w:val="en-US" w:eastAsia="zh-CN" w:bidi="ar-SA"/>
        </w:rPr>
        <w:t>食物来源和危害性</w:t>
      </w:r>
      <w:r>
        <w:rPr>
          <w:rFonts w:ascii="Times New Roman" w:hAnsi="Times New Roman" w:eastAsia="宋体" w:cs="Times New Roman"/>
          <w:color w:val="auto"/>
          <w:kern w:val="2"/>
          <w:sz w:val="24"/>
          <w:szCs w:val="24"/>
          <w:highlight w:val="none"/>
          <w:lang w:val="en-US" w:eastAsia="zh-CN" w:bidi="ar-SA"/>
        </w:rPr>
        <w:t>；</w:t>
      </w:r>
    </w:p>
    <w:p w14:paraId="3E13ECE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掌握</w:t>
      </w:r>
      <w:r>
        <w:rPr>
          <w:rFonts w:ascii="Times New Roman" w:hAnsi="Times New Roman" w:eastAsia="宋体" w:cs="Times New Roman"/>
          <w:color w:val="auto"/>
          <w:kern w:val="2"/>
          <w:sz w:val="24"/>
          <w:szCs w:val="24"/>
          <w:highlight w:val="none"/>
          <w:lang w:val="en-US" w:eastAsia="zh-CN" w:bidi="ar-SA"/>
        </w:rPr>
        <w:t>杂环胺的种类、理化性质</w:t>
      </w:r>
      <w:r>
        <w:rPr>
          <w:rFonts w:hint="eastAsia" w:ascii="Times New Roman" w:hAnsi="Times New Roman" w:eastAsia="宋体" w:cs="Times New Roman"/>
          <w:color w:val="auto"/>
          <w:kern w:val="2"/>
          <w:sz w:val="24"/>
          <w:szCs w:val="24"/>
          <w:highlight w:val="none"/>
          <w:lang w:val="en-US" w:eastAsia="zh-CN" w:bidi="ar-SA"/>
        </w:rPr>
        <w:t>、食物来源和防范措施</w:t>
      </w:r>
      <w:r>
        <w:rPr>
          <w:rFonts w:ascii="Times New Roman" w:hAnsi="Times New Roman" w:eastAsia="宋体" w:cs="Times New Roman"/>
          <w:color w:val="auto"/>
          <w:kern w:val="2"/>
          <w:sz w:val="24"/>
          <w:szCs w:val="24"/>
          <w:highlight w:val="none"/>
          <w:lang w:val="en-US" w:eastAsia="zh-CN" w:bidi="ar-SA"/>
        </w:rPr>
        <w:t>；</w:t>
      </w:r>
    </w:p>
    <w:p w14:paraId="1D1A6F4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了解食品的Nova分类和超加工食品的安全风险；</w:t>
      </w:r>
    </w:p>
    <w:p w14:paraId="29E0BFB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了解洋快餐</w:t>
      </w:r>
      <w:r>
        <w:rPr>
          <w:rFonts w:hint="eastAsia" w:ascii="Times New Roman" w:hAnsi="Times New Roman" w:cs="Times New Roman"/>
          <w:color w:val="auto"/>
          <w:kern w:val="2"/>
          <w:sz w:val="24"/>
          <w:szCs w:val="24"/>
          <w:highlight w:val="none"/>
          <w:lang w:val="en-US" w:eastAsia="zh-CN" w:bidi="ar-SA"/>
        </w:rPr>
        <w:t>和中式快餐</w:t>
      </w:r>
      <w:r>
        <w:rPr>
          <w:rFonts w:hint="eastAsia" w:ascii="Times New Roman" w:hAnsi="Times New Roman" w:eastAsia="宋体" w:cs="Times New Roman"/>
          <w:color w:val="auto"/>
          <w:kern w:val="2"/>
          <w:sz w:val="24"/>
          <w:szCs w:val="24"/>
          <w:highlight w:val="none"/>
          <w:lang w:val="en-US" w:eastAsia="zh-CN" w:bidi="ar-SA"/>
        </w:rPr>
        <w:t>的发展历程</w:t>
      </w:r>
      <w:r>
        <w:rPr>
          <w:rFonts w:hint="eastAsia" w:ascii="Times New Roman" w:hAnsi="Times New Roman" w:cs="Times New Roman"/>
          <w:color w:val="auto"/>
          <w:kern w:val="2"/>
          <w:sz w:val="24"/>
          <w:szCs w:val="24"/>
          <w:highlight w:val="none"/>
          <w:lang w:val="en-US" w:eastAsia="zh-CN" w:bidi="ar-SA"/>
        </w:rPr>
        <w:t>和安全隐患</w:t>
      </w:r>
      <w:r>
        <w:rPr>
          <w:rFonts w:hint="eastAsia" w:ascii="Times New Roman" w:hAnsi="Times New Roman" w:eastAsia="宋体" w:cs="Times New Roman"/>
          <w:color w:val="auto"/>
          <w:kern w:val="2"/>
          <w:sz w:val="24"/>
          <w:szCs w:val="24"/>
          <w:highlight w:val="none"/>
          <w:lang w:val="en-US" w:eastAsia="zh-CN" w:bidi="ar-SA"/>
        </w:rPr>
        <w:t>；</w:t>
      </w:r>
    </w:p>
    <w:p w14:paraId="0B89DB0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ascii="Times New Roman" w:hAnsi="Times New Roman"/>
          <w:color w:val="auto"/>
          <w:sz w:val="24"/>
          <w:szCs w:val="24"/>
          <w:highlight w:val="none"/>
        </w:rPr>
        <w:t>2）环境暴露来源污染物</w:t>
      </w:r>
    </w:p>
    <w:p w14:paraId="12C25EA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掌握持久性有机污染物的定义、特性和国际POPs公约；</w:t>
      </w:r>
    </w:p>
    <w:p w14:paraId="3CF78A4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了解二恶英、多环芳烃</w:t>
      </w:r>
      <w:r>
        <w:rPr>
          <w:rFonts w:hint="eastAsia" w:ascii="Times New Roman" w:hAnsi="Times New Roman" w:eastAsia="宋体" w:cs="Times New Roman"/>
          <w:color w:val="auto"/>
          <w:kern w:val="2"/>
          <w:sz w:val="24"/>
          <w:szCs w:val="24"/>
          <w:highlight w:val="none"/>
          <w:lang w:val="en-US" w:eastAsia="zh-CN" w:bidi="ar-SA"/>
        </w:rPr>
        <w:t>和</w:t>
      </w:r>
      <w:r>
        <w:rPr>
          <w:rFonts w:ascii="Times New Roman" w:hAnsi="Times New Roman" w:eastAsia="宋体" w:cs="Times New Roman"/>
          <w:color w:val="auto"/>
          <w:kern w:val="2"/>
          <w:sz w:val="24"/>
          <w:szCs w:val="24"/>
          <w:highlight w:val="none"/>
          <w:lang w:val="en-US" w:eastAsia="zh-CN" w:bidi="ar-SA"/>
        </w:rPr>
        <w:t>全氟化合物的</w:t>
      </w:r>
      <w:r>
        <w:rPr>
          <w:rFonts w:hint="eastAsia" w:ascii="Times New Roman" w:hAnsi="Times New Roman" w:eastAsia="宋体" w:cs="Times New Roman"/>
          <w:color w:val="auto"/>
          <w:kern w:val="2"/>
          <w:sz w:val="24"/>
          <w:szCs w:val="24"/>
          <w:highlight w:val="none"/>
          <w:lang w:val="en-US" w:eastAsia="zh-CN" w:bidi="ar-SA"/>
        </w:rPr>
        <w:t>污染来源、</w:t>
      </w:r>
      <w:r>
        <w:rPr>
          <w:rFonts w:ascii="Times New Roman" w:hAnsi="Times New Roman" w:eastAsia="宋体" w:cs="Times New Roman"/>
          <w:color w:val="auto"/>
          <w:kern w:val="2"/>
          <w:sz w:val="24"/>
          <w:szCs w:val="24"/>
          <w:highlight w:val="none"/>
          <w:lang w:val="en-US" w:eastAsia="zh-CN" w:bidi="ar-SA"/>
        </w:rPr>
        <w:t>生物累积效应与健康危害</w:t>
      </w:r>
      <w:r>
        <w:rPr>
          <w:rFonts w:hint="eastAsia" w:ascii="Times New Roman" w:hAnsi="Times New Roman" w:eastAsia="宋体" w:cs="Times New Roman"/>
          <w:color w:val="auto"/>
          <w:kern w:val="2"/>
          <w:sz w:val="24"/>
          <w:szCs w:val="24"/>
          <w:highlight w:val="none"/>
          <w:lang w:val="en-US" w:eastAsia="zh-CN" w:bidi="ar-SA"/>
        </w:rPr>
        <w:t>；</w:t>
      </w:r>
    </w:p>
    <w:p w14:paraId="33EB4C9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了解硝酸盐和亚硝酸盐的种类、毒性、污染来源</w:t>
      </w:r>
      <w:r>
        <w:rPr>
          <w:rFonts w:hint="eastAsia" w:ascii="Times New Roman" w:hAnsi="Times New Roman" w:eastAsia="宋体" w:cs="Times New Roman"/>
          <w:color w:val="auto"/>
          <w:kern w:val="2"/>
          <w:sz w:val="24"/>
          <w:szCs w:val="24"/>
          <w:highlight w:val="none"/>
          <w:lang w:val="en-US" w:eastAsia="zh-CN" w:bidi="ar-SA"/>
        </w:rPr>
        <w:t>以及</w:t>
      </w:r>
      <w:r>
        <w:rPr>
          <w:rFonts w:ascii="Times New Roman" w:hAnsi="Times New Roman" w:eastAsia="宋体" w:cs="Times New Roman"/>
          <w:color w:val="auto"/>
          <w:kern w:val="2"/>
          <w:sz w:val="24"/>
          <w:szCs w:val="24"/>
          <w:highlight w:val="none"/>
          <w:lang w:val="en-US" w:eastAsia="zh-CN" w:bidi="ar-SA"/>
        </w:rPr>
        <w:t>与致癌性的关系</w:t>
      </w:r>
      <w:r>
        <w:rPr>
          <w:rFonts w:hint="eastAsia" w:ascii="Times New Roman" w:hAnsi="Times New Roman" w:eastAsia="宋体" w:cs="Times New Roman"/>
          <w:color w:val="auto"/>
          <w:kern w:val="2"/>
          <w:sz w:val="24"/>
          <w:szCs w:val="24"/>
          <w:highlight w:val="none"/>
          <w:lang w:val="en-US" w:eastAsia="zh-CN" w:bidi="ar-SA"/>
        </w:rPr>
        <w:t>。</w:t>
      </w:r>
    </w:p>
    <w:p w14:paraId="1E330B2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default" w:ascii="Times New Roman" w:hAnsi="Times New Roman" w:eastAsia="宋体"/>
          <w:b/>
          <w:color w:val="auto"/>
          <w:sz w:val="28"/>
          <w:szCs w:val="28"/>
          <w:highlight w:val="none"/>
          <w:lang w:val="en-US" w:eastAsia="zh-CN"/>
        </w:rPr>
      </w:pPr>
      <w:r>
        <w:rPr>
          <w:rFonts w:hint="eastAsia" w:ascii="Times New Roman" w:hAnsi="Times New Roman"/>
          <w:b/>
          <w:color w:val="auto"/>
          <w:sz w:val="28"/>
          <w:szCs w:val="28"/>
          <w:highlight w:val="none"/>
        </w:rPr>
        <w:t>第</w:t>
      </w:r>
      <w:r>
        <w:rPr>
          <w:rFonts w:hint="eastAsia" w:ascii="Times New Roman" w:hAnsi="Times New Roman"/>
          <w:b/>
          <w:color w:val="auto"/>
          <w:sz w:val="28"/>
          <w:szCs w:val="28"/>
          <w:highlight w:val="none"/>
          <w:lang w:val="en-US" w:eastAsia="zh-CN"/>
        </w:rPr>
        <w:t>四章</w:t>
      </w:r>
      <w:r>
        <w:rPr>
          <w:rFonts w:hint="eastAsia" w:ascii="Times New Roman" w:hAnsi="Times New Roman"/>
          <w:b/>
          <w:color w:val="auto"/>
          <w:sz w:val="28"/>
          <w:szCs w:val="28"/>
          <w:highlight w:val="none"/>
        </w:rPr>
        <w:t>：食品添加剂</w:t>
      </w:r>
      <w:r>
        <w:rPr>
          <w:rFonts w:hint="eastAsia" w:ascii="Times New Roman" w:hAnsi="Times New Roman"/>
          <w:b/>
          <w:color w:val="auto"/>
          <w:sz w:val="28"/>
          <w:szCs w:val="28"/>
          <w:highlight w:val="none"/>
          <w:lang w:val="en-US" w:eastAsia="zh-CN"/>
        </w:rPr>
        <w:t>与食品安全</w:t>
      </w:r>
    </w:p>
    <w:p w14:paraId="3827B45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（1）食品添加剂的使用原则</w:t>
      </w:r>
    </w:p>
    <w:p w14:paraId="20032B4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掌握食品添加剂的定义以及食品用香料、胶基糖果中基础剂物质、食品工业用加工助剂和营养强化剂的概念；</w:t>
      </w:r>
    </w:p>
    <w:p w14:paraId="52E5F21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食品添加剂合理使用的重要性以及在食品工业中的重要作用；</w:t>
      </w:r>
    </w:p>
    <w:p w14:paraId="6C2F644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了解食品添加剂生产、销售和使用的管理办法；</w:t>
      </w:r>
    </w:p>
    <w:p w14:paraId="6645E90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（2）食品添加剂的分类</w:t>
      </w:r>
    </w:p>
    <w:p w14:paraId="6B4B1F4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ascii="Times New Roman" w:hAnsi="Times New Roman" w:eastAsia="宋体" w:cs="Times New Roman"/>
          <w:color w:val="auto"/>
          <w:kern w:val="2"/>
          <w:sz w:val="24"/>
          <w:szCs w:val="24"/>
          <w:highlight w:val="none"/>
          <w:lang w:val="en-US" w:eastAsia="zh-CN" w:bidi="ar-SA"/>
        </w:rPr>
      </w:pPr>
      <w:r>
        <w:rPr>
          <w:rFonts w:ascii="Times New Roman" w:hAnsi="Times New Roman" w:eastAsia="宋体" w:cs="Times New Roman"/>
          <w:color w:val="auto"/>
          <w:kern w:val="2"/>
          <w:sz w:val="24"/>
          <w:szCs w:val="24"/>
          <w:highlight w:val="none"/>
          <w:lang w:val="en-US" w:eastAsia="zh-CN" w:bidi="ar-SA"/>
        </w:rPr>
        <w:t>掌握食品添加剂的分类方法，重点掌握与日常生活中各类食品常用的食品添加剂如</w:t>
      </w:r>
      <w:r>
        <w:rPr>
          <w:rFonts w:hint="eastAsia" w:ascii="Times New Roman" w:hAnsi="Times New Roman" w:eastAsia="宋体" w:cs="Times New Roman"/>
          <w:color w:val="auto"/>
          <w:kern w:val="2"/>
          <w:sz w:val="24"/>
          <w:szCs w:val="24"/>
          <w:highlight w:val="none"/>
          <w:lang w:val="en-US" w:eastAsia="zh-CN" w:bidi="ar-SA"/>
        </w:rPr>
        <w:t>防腐剂、着色剂、乳化剂和抗氧化剂的种类、作用和安全使用剂量；</w:t>
      </w:r>
    </w:p>
    <w:p w14:paraId="5450DBB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掌握食品包装标签中添加剂的识别方法；</w:t>
      </w:r>
    </w:p>
    <w:p w14:paraId="50BD6E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（3）食品添加剂的安全性</w:t>
      </w:r>
    </w:p>
    <w:p w14:paraId="67378F4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了解食品添加剂的安全性评价；</w:t>
      </w:r>
    </w:p>
    <w:p w14:paraId="73C7914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食品添加剂安全事件（</w:t>
      </w:r>
      <w:r>
        <w:rPr>
          <w:rFonts w:ascii="Times New Roman" w:hAnsi="Times New Roman" w:eastAsia="宋体" w:cs="Times New Roman"/>
          <w:color w:val="auto"/>
          <w:kern w:val="2"/>
          <w:sz w:val="24"/>
          <w:szCs w:val="24"/>
          <w:highlight w:val="none"/>
          <w:lang w:val="en-US" w:eastAsia="zh-CN" w:bidi="ar-SA"/>
        </w:rPr>
        <w:t>苏丹红、三聚氰胺、瘦肉精和彩色馒头等</w:t>
      </w:r>
      <w:r>
        <w:rPr>
          <w:rFonts w:hint="eastAsia" w:ascii="Times New Roman" w:hAnsi="Times New Roman" w:eastAsia="宋体" w:cs="Times New Roman"/>
          <w:color w:val="auto"/>
          <w:kern w:val="2"/>
          <w:sz w:val="24"/>
          <w:szCs w:val="24"/>
          <w:highlight w:val="none"/>
          <w:lang w:val="en-US" w:eastAsia="zh-CN" w:bidi="ar-SA"/>
        </w:rPr>
        <w:t>）</w:t>
      </w:r>
      <w:r>
        <w:rPr>
          <w:rFonts w:ascii="Times New Roman" w:hAnsi="Times New Roman" w:eastAsia="宋体" w:cs="Times New Roman"/>
          <w:color w:val="auto"/>
          <w:kern w:val="2"/>
          <w:sz w:val="24"/>
          <w:szCs w:val="24"/>
          <w:highlight w:val="none"/>
          <w:lang w:val="en-US" w:eastAsia="zh-CN" w:bidi="ar-SA"/>
        </w:rPr>
        <w:t>添加剂重大安全事件</w:t>
      </w:r>
      <w:r>
        <w:rPr>
          <w:rFonts w:hint="eastAsia" w:ascii="Times New Roman" w:hAnsi="Times New Roman" w:cs="Times New Roman"/>
          <w:color w:val="auto"/>
          <w:kern w:val="2"/>
          <w:sz w:val="24"/>
          <w:szCs w:val="24"/>
          <w:highlight w:val="none"/>
          <w:lang w:val="en-US" w:eastAsia="zh-CN" w:bidi="ar-SA"/>
        </w:rPr>
        <w:t>；</w:t>
      </w:r>
    </w:p>
    <w:p w14:paraId="17015C9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highlight w:val="none"/>
          <w:lang w:val="en-US" w:eastAsia="zh-CN" w:bidi="ar-SA"/>
        </w:rPr>
        <w:t>掌握食品添加剂的合理使用、滥用和非法添加剂的区别</w:t>
      </w:r>
      <w:r>
        <w:rPr>
          <w:rFonts w:hint="eastAsia" w:ascii="Times New Roman" w:hAnsi="Times New Roman" w:cs="Times New Roman"/>
          <w:color w:val="auto"/>
          <w:kern w:val="2"/>
          <w:sz w:val="24"/>
          <w:szCs w:val="24"/>
          <w:highlight w:val="none"/>
          <w:lang w:val="en-US" w:eastAsia="zh-CN" w:bidi="ar-SA"/>
        </w:rPr>
        <w:t>。</w:t>
      </w:r>
    </w:p>
    <w:p w14:paraId="6F7AAA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b/>
          <w:sz w:val="28"/>
          <w:szCs w:val="28"/>
        </w:rPr>
      </w:pPr>
      <w:r>
        <w:rPr>
          <w:rFonts w:hint="eastAsia" w:ascii="Times New Roman" w:hAnsi="Times New Roman"/>
          <w:b/>
          <w:sz w:val="28"/>
          <w:szCs w:val="28"/>
        </w:rPr>
        <w:t>第五章：食物中毒与食源性疾病</w:t>
      </w:r>
    </w:p>
    <w:p w14:paraId="78AB172B">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食品的腐败变质与食源性疾病</w:t>
      </w:r>
    </w:p>
    <w:p w14:paraId="7B886EA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食品的腐败变质定义、影响因素、危害、控制措施</w:t>
      </w:r>
      <w:r>
        <w:rPr>
          <w:rFonts w:ascii="Times New Roman" w:hAnsi="Times New Roman"/>
          <w:sz w:val="24"/>
          <w:szCs w:val="24"/>
        </w:rPr>
        <w:t>；</w:t>
      </w:r>
    </w:p>
    <w:p w14:paraId="5B784C2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了解食源性疾病的定义，食物中毒的定义、特征和分类；</w:t>
      </w:r>
    </w:p>
    <w:p w14:paraId="2001C95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了解细菌性食物中毒的定义、特点、分类；</w:t>
      </w:r>
    </w:p>
    <w:p w14:paraId="6C007EE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掌握沙门氏菌食物中毒的病原体、发病机制、临床表现、预防和治疗措施</w:t>
      </w:r>
      <w:r>
        <w:rPr>
          <w:rFonts w:hint="eastAsia" w:ascii="Times New Roman" w:hAnsi="Times New Roman"/>
          <w:sz w:val="24"/>
          <w:szCs w:val="24"/>
        </w:rPr>
        <w:t>；</w:t>
      </w:r>
    </w:p>
    <w:p w14:paraId="1480C10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掌握霍乱的病原体、发病机制、临床表现、预防和治疗措施</w:t>
      </w:r>
      <w:r>
        <w:rPr>
          <w:rFonts w:hint="eastAsia" w:ascii="Times New Roman" w:hAnsi="Times New Roman"/>
          <w:sz w:val="24"/>
          <w:szCs w:val="24"/>
        </w:rPr>
        <w:t>；</w:t>
      </w:r>
    </w:p>
    <w:p w14:paraId="1C1C013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了解真菌毒素和霉变食物中毒的定义、特点、分类；</w:t>
      </w:r>
    </w:p>
    <w:p w14:paraId="615105FE">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2</w:t>
      </w:r>
      <w:r>
        <w:rPr>
          <w:rFonts w:ascii="Times New Roman" w:hAnsi="Times New Roman" w:eastAsia="宋体" w:cs="Times New Roman"/>
          <w:kern w:val="2"/>
          <w:sz w:val="24"/>
          <w:szCs w:val="24"/>
          <w:lang w:val="en-US" w:eastAsia="zh-CN" w:bidi="ar-SA"/>
        </w:rPr>
        <w:t>）</w:t>
      </w:r>
      <w:r>
        <w:rPr>
          <w:rFonts w:hint="eastAsia" w:ascii="Times New Roman" w:hAnsi="Times New Roman"/>
          <w:sz w:val="24"/>
          <w:szCs w:val="24"/>
        </w:rPr>
        <w:t>植物性和动物性食品导致的食源性疾病</w:t>
      </w:r>
    </w:p>
    <w:p w14:paraId="635C2E1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掌握龙葵素与发芽马铃薯中毒原因、中毒表现和预防治疗措施</w:t>
      </w:r>
      <w:r>
        <w:rPr>
          <w:rFonts w:hint="eastAsia" w:ascii="Times New Roman" w:hAnsi="Times New Roman"/>
          <w:sz w:val="24"/>
          <w:szCs w:val="24"/>
        </w:rPr>
        <w:t>；</w:t>
      </w:r>
    </w:p>
    <w:p w14:paraId="4691375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掌握人兽共患疾病（结核病和口蹄疫）的流行病学依据、传播预防与控制措施</w:t>
      </w:r>
      <w:r>
        <w:rPr>
          <w:rFonts w:hint="eastAsia" w:ascii="Times New Roman" w:hAnsi="Times New Roman"/>
          <w:sz w:val="24"/>
          <w:szCs w:val="24"/>
        </w:rPr>
        <w:t>。</w:t>
      </w:r>
    </w:p>
    <w:p w14:paraId="378D92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b/>
          <w:sz w:val="28"/>
          <w:szCs w:val="28"/>
        </w:rPr>
      </w:pPr>
      <w:r>
        <w:rPr>
          <w:rFonts w:hint="eastAsia" w:ascii="Times New Roman" w:hAnsi="Times New Roman"/>
          <w:b/>
          <w:sz w:val="28"/>
          <w:szCs w:val="28"/>
        </w:rPr>
        <w:t>第六章：食物过敏</w:t>
      </w:r>
    </w:p>
    <w:p w14:paraId="011CCF8F">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食物不耐受</w:t>
      </w:r>
    </w:p>
    <w:p w14:paraId="0AE9861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了解食物不耐受的定义、临床表现和防治措施；</w:t>
      </w:r>
    </w:p>
    <w:p w14:paraId="69D5F6E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了解乳糖不耐受的定义、临床表现和防治措施；</w:t>
      </w:r>
    </w:p>
    <w:p w14:paraId="33F30AF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掌握食物过敏和食物不耐受的区别；</w:t>
      </w:r>
    </w:p>
    <w:p w14:paraId="6ACFB5E2">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w:t>
      </w:r>
      <w:r>
        <w:rPr>
          <w:rFonts w:hint="eastAsia" w:ascii="Times New Roman" w:hAnsi="Times New Roman"/>
          <w:sz w:val="24"/>
          <w:szCs w:val="24"/>
        </w:rPr>
        <w:t>食物过敏</w:t>
      </w:r>
    </w:p>
    <w:p w14:paraId="0FBC136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了解食物致敏原的定义、特点和种类；</w:t>
      </w:r>
    </w:p>
    <w:p w14:paraId="72CD840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掌握食物过敏的发病机制、诱发途径、影响因素和临床表现；</w:t>
      </w:r>
    </w:p>
    <w:p w14:paraId="53555BE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了解花生和鸡蛋过敏的原因、临床表现和防治措施；</w:t>
      </w:r>
    </w:p>
    <w:p w14:paraId="1AA2E5E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了解食物过敏的分类、诊断方法和预防治疗措施；</w:t>
      </w:r>
    </w:p>
    <w:p w14:paraId="6272256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了解食物过敏原的安全管理措施。</w:t>
      </w:r>
    </w:p>
    <w:p w14:paraId="51118A1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b/>
          <w:sz w:val="28"/>
          <w:szCs w:val="28"/>
        </w:rPr>
      </w:pPr>
      <w:r>
        <w:rPr>
          <w:rFonts w:hint="eastAsia" w:ascii="Times New Roman" w:hAnsi="Times New Roman"/>
          <w:b/>
          <w:sz w:val="28"/>
          <w:szCs w:val="28"/>
        </w:rPr>
        <w:t>第七章：转基因食品安全性</w:t>
      </w:r>
    </w:p>
    <w:p w14:paraId="09138201">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转基因食品</w:t>
      </w:r>
    </w:p>
    <w:p w14:paraId="657922D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了解转基因和转基因食品的定义</w:t>
      </w:r>
      <w:r>
        <w:rPr>
          <w:rFonts w:ascii="Times New Roman" w:hAnsi="Times New Roman"/>
          <w:sz w:val="24"/>
          <w:szCs w:val="24"/>
        </w:rPr>
        <w:t>；</w:t>
      </w:r>
    </w:p>
    <w:p w14:paraId="7F6C30B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耐受除草剂植物、抗病虫害、改善食品成分、改善农业品质和延长食品货架期等转基因食品的种类和功能；</w:t>
      </w:r>
    </w:p>
    <w:p w14:paraId="5349E88C">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转基因食品安全问题和安全性评价</w:t>
      </w:r>
    </w:p>
    <w:p w14:paraId="7154794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掌握转基因食品的伦理问题、转基因食品安全性和生态安全性问题；</w:t>
      </w:r>
    </w:p>
    <w:p w14:paraId="2D8FADB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了解转基因大豆的分类、优势和潜在安全性；</w:t>
      </w:r>
    </w:p>
    <w:p w14:paraId="55CD8BE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了解实质等同性原则的定义、分类和评估内容；</w:t>
      </w:r>
    </w:p>
    <w:p w14:paraId="3A37887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掌握转基因食品营养学评价、转基因食品毒理学评价和转基因食品致敏性评价方法；</w:t>
      </w:r>
    </w:p>
    <w:p w14:paraId="08D562A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国际权威组织对转基因安全性的结论；</w:t>
      </w:r>
    </w:p>
    <w:p w14:paraId="454AC9A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转基因食品的安全管理措施。</w:t>
      </w:r>
    </w:p>
    <w:p w14:paraId="0102F3D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b/>
          <w:sz w:val="28"/>
          <w:szCs w:val="28"/>
        </w:rPr>
      </w:pPr>
      <w:r>
        <w:rPr>
          <w:rFonts w:hint="eastAsia" w:ascii="Times New Roman" w:hAnsi="Times New Roman"/>
          <w:b/>
          <w:sz w:val="28"/>
          <w:szCs w:val="28"/>
        </w:rPr>
        <w:t>第八章：生物毒素的危害控制</w:t>
      </w:r>
    </w:p>
    <w:p w14:paraId="4DC6CB24">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（1）生物毒素</w:t>
      </w:r>
    </w:p>
    <w:p w14:paraId="5D79E48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掌握生物毒素的概念及其分类；</w:t>
      </w:r>
    </w:p>
    <w:p w14:paraId="24DA41C8">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（2）真菌毒素</w:t>
      </w:r>
    </w:p>
    <w:p w14:paraId="38DFA5B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掌握真菌毒素的概念，以及主要的真菌毒素</w:t>
      </w:r>
      <w:r>
        <w:rPr>
          <w:rFonts w:hint="eastAsia" w:ascii="Times New Roman" w:hAnsi="Times New Roman"/>
          <w:sz w:val="24"/>
          <w:szCs w:val="24"/>
        </w:rPr>
        <w:t>；</w:t>
      </w:r>
    </w:p>
    <w:p w14:paraId="51A6AA4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sz w:val="24"/>
          <w:szCs w:val="24"/>
        </w:rPr>
        <w:t>了解我国粮食安全中的真菌毒素问题与应对措施；</w:t>
      </w:r>
    </w:p>
    <w:p w14:paraId="4661A36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掌握黄曲霉毒素、赭曲霉毒素、展青霉素等真菌毒素的来源分布、主要危害</w:t>
      </w:r>
      <w:r>
        <w:rPr>
          <w:rFonts w:hint="eastAsia" w:ascii="Times New Roman" w:hAnsi="Times New Roman"/>
          <w:sz w:val="24"/>
          <w:szCs w:val="24"/>
        </w:rPr>
        <w:t>；</w:t>
      </w:r>
    </w:p>
    <w:p w14:paraId="416B53DB">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了解黄曲霉毒素、赭曲霉毒素、展青霉素等理化特性，预防、控制方法</w:t>
      </w:r>
      <w:r>
        <w:rPr>
          <w:rFonts w:hint="eastAsia" w:ascii="Times New Roman" w:hAnsi="Times New Roman"/>
          <w:sz w:val="24"/>
          <w:szCs w:val="24"/>
        </w:rPr>
        <w:t>；</w:t>
      </w:r>
    </w:p>
    <w:p w14:paraId="50A6CF9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（3）海洋毒素</w:t>
      </w:r>
    </w:p>
    <w:p w14:paraId="0D86F5D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sz w:val="24"/>
          <w:szCs w:val="24"/>
        </w:rPr>
      </w:pPr>
      <w:r>
        <w:rPr>
          <w:sz w:val="24"/>
          <w:szCs w:val="24"/>
        </w:rPr>
        <w:t>了解海洋毒素的种类、危害与实际食品安全案例</w:t>
      </w:r>
      <w:r>
        <w:rPr>
          <w:rFonts w:hint="eastAsia"/>
          <w:sz w:val="24"/>
          <w:szCs w:val="24"/>
        </w:rPr>
        <w:t>；</w:t>
      </w:r>
    </w:p>
    <w:p w14:paraId="43AB1D9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sz w:val="24"/>
          <w:szCs w:val="24"/>
        </w:rPr>
      </w:pPr>
      <w:r>
        <w:rPr>
          <w:rFonts w:hint="eastAsia"/>
          <w:sz w:val="24"/>
          <w:szCs w:val="24"/>
        </w:rPr>
        <w:t>了解河豚毒素、贝类毒素、等海洋毒素或水产生物毒素的来源、中毒表现和防护措施；</w:t>
      </w:r>
    </w:p>
    <w:p w14:paraId="0DC3420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sz w:val="24"/>
          <w:szCs w:val="24"/>
        </w:rPr>
      </w:pPr>
      <w:r>
        <w:rPr>
          <w:rFonts w:hint="eastAsia"/>
          <w:sz w:val="24"/>
          <w:szCs w:val="24"/>
        </w:rPr>
        <w:t>了解生物胺的分布，有关的食品安全问题以及防护措施；</w:t>
      </w:r>
    </w:p>
    <w:p w14:paraId="2BDF6F6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sz w:val="24"/>
          <w:szCs w:val="24"/>
        </w:rPr>
      </w:pPr>
      <w:r>
        <w:rPr>
          <w:rFonts w:hint="eastAsia"/>
          <w:sz w:val="24"/>
          <w:szCs w:val="24"/>
        </w:rPr>
        <w:t>了解生物毒素的开发利用。</w:t>
      </w:r>
    </w:p>
    <w:p w14:paraId="558EEF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center"/>
        <w:textAlignment w:val="auto"/>
        <w:rPr>
          <w:rFonts w:ascii="Times New Roman" w:hAnsi="Times New Roman"/>
          <w:b/>
          <w:sz w:val="28"/>
          <w:szCs w:val="28"/>
          <w:highlight w:val="none"/>
        </w:rPr>
      </w:pPr>
      <w:r>
        <w:rPr>
          <w:rFonts w:hint="eastAsia" w:ascii="Times New Roman" w:hAnsi="Times New Roman"/>
          <w:b/>
          <w:sz w:val="28"/>
          <w:szCs w:val="28"/>
          <w:highlight w:val="none"/>
        </w:rPr>
        <w:t>第</w:t>
      </w:r>
      <w:r>
        <w:rPr>
          <w:rFonts w:hint="eastAsia" w:ascii="Times New Roman" w:hAnsi="Times New Roman"/>
          <w:b/>
          <w:sz w:val="28"/>
          <w:szCs w:val="28"/>
          <w:highlight w:val="none"/>
          <w:lang w:val="en-US" w:eastAsia="zh-CN"/>
        </w:rPr>
        <w:t>九</w:t>
      </w:r>
      <w:r>
        <w:rPr>
          <w:rFonts w:hint="eastAsia" w:ascii="Times New Roman" w:hAnsi="Times New Roman"/>
          <w:b/>
          <w:sz w:val="28"/>
          <w:szCs w:val="28"/>
          <w:highlight w:val="none"/>
        </w:rPr>
        <w:t>章：食品安全风险评估</w:t>
      </w:r>
    </w:p>
    <w:p w14:paraId="3E7C664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both"/>
        <w:textAlignment w:val="auto"/>
        <w:rPr>
          <w:rFonts w:ascii="Times New Roman" w:hAnsi="Times New Roman"/>
          <w:color w:val="auto"/>
          <w:sz w:val="24"/>
          <w:szCs w:val="24"/>
          <w:highlight w:val="none"/>
        </w:rPr>
      </w:pPr>
      <w:r>
        <w:rPr>
          <w:rFonts w:hint="eastAsia" w:ascii="Times New Roman" w:hAnsi="Times New Roman"/>
          <w:color w:val="auto"/>
          <w:sz w:val="24"/>
          <w:szCs w:val="24"/>
          <w:highlight w:val="none"/>
        </w:rPr>
        <w:t>（</w:t>
      </w:r>
      <w:r>
        <w:rPr>
          <w:rFonts w:ascii="Times New Roman" w:hAnsi="Times New Roman"/>
          <w:color w:val="auto"/>
          <w:sz w:val="24"/>
          <w:szCs w:val="24"/>
          <w:highlight w:val="none"/>
        </w:rPr>
        <w:t>1）</w:t>
      </w:r>
      <w:r>
        <w:rPr>
          <w:rFonts w:hint="eastAsia" w:ascii="Times New Roman" w:hAnsi="Times New Roman"/>
          <w:color w:val="auto"/>
          <w:sz w:val="24"/>
          <w:szCs w:val="24"/>
          <w:highlight w:val="none"/>
        </w:rPr>
        <w:t>食品安全风险评估的背景</w:t>
      </w:r>
    </w:p>
    <w:p w14:paraId="28D341F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掌握食品安全危害因子的种类及来源；</w:t>
      </w:r>
    </w:p>
    <w:p w14:paraId="318E143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了解食品安全风险评估的作用；</w:t>
      </w:r>
    </w:p>
    <w:p w14:paraId="2CBCA24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了解国际风险评估机构；</w:t>
      </w:r>
    </w:p>
    <w:p w14:paraId="69CAA9C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cs="Times New Roman"/>
          <w:color w:val="auto"/>
          <w:kern w:val="2"/>
          <w:sz w:val="24"/>
          <w:szCs w:val="24"/>
          <w:lang w:val="en-US" w:eastAsia="zh-CN" w:bidi="ar-SA"/>
        </w:rPr>
        <w:t>2</w:t>
      </w: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color w:val="auto"/>
          <w:sz w:val="24"/>
          <w:szCs w:val="24"/>
          <w:highlight w:val="none"/>
        </w:rPr>
        <w:t>食品安全风险分析框架</w:t>
      </w:r>
    </w:p>
    <w:p w14:paraId="79657D9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w:t>
      </w:r>
      <w:r>
        <w:rPr>
          <w:rFonts w:hint="eastAsia" w:ascii="Times New Roman" w:hAnsi="Times New Roman" w:eastAsia="宋体" w:cs="Times New Roman"/>
          <w:color w:val="auto"/>
          <w:kern w:val="2"/>
          <w:sz w:val="24"/>
          <w:szCs w:val="24"/>
          <w:highlight w:val="none"/>
          <w:lang w:val="en-US" w:eastAsia="zh-CN" w:bidi="ar-SA"/>
        </w:rPr>
        <w:t>风险分析</w:t>
      </w:r>
      <w:r>
        <w:rPr>
          <w:rFonts w:hint="eastAsia" w:ascii="Times New Roman" w:hAnsi="Times New Roman" w:cs="Times New Roman"/>
          <w:color w:val="auto"/>
          <w:kern w:val="2"/>
          <w:sz w:val="24"/>
          <w:szCs w:val="24"/>
          <w:highlight w:val="none"/>
          <w:lang w:val="en-US" w:eastAsia="zh-CN" w:bidi="ar-SA"/>
        </w:rPr>
        <w:t>的</w:t>
      </w:r>
      <w:r>
        <w:rPr>
          <w:rFonts w:hint="eastAsia" w:ascii="Times New Roman" w:hAnsi="Times New Roman" w:eastAsia="宋体" w:cs="Times New Roman"/>
          <w:color w:val="auto"/>
          <w:kern w:val="2"/>
          <w:sz w:val="24"/>
          <w:szCs w:val="24"/>
          <w:highlight w:val="none"/>
          <w:lang w:val="en-US" w:eastAsia="zh-CN" w:bidi="ar-SA"/>
        </w:rPr>
        <w:t>定义</w:t>
      </w:r>
      <w:r>
        <w:rPr>
          <w:rFonts w:hint="eastAsia" w:ascii="Times New Roman" w:hAnsi="Times New Roman" w:cs="Times New Roman"/>
          <w:color w:val="auto"/>
          <w:kern w:val="2"/>
          <w:sz w:val="24"/>
          <w:szCs w:val="24"/>
          <w:highlight w:val="none"/>
          <w:lang w:val="en-US" w:eastAsia="zh-CN" w:bidi="ar-SA"/>
        </w:rPr>
        <w:t>，风险评估、风险管理和风险交流三者的关系；</w:t>
      </w:r>
    </w:p>
    <w:p w14:paraId="6A8F097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掌握风险评估的定义，危害、风险和安全的区别与联系，变异度和不确定度的概念，风险评估的基本特征和七大原则；</w:t>
      </w:r>
    </w:p>
    <w:p w14:paraId="328955B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了解风险管理的概念和四个步骤；</w:t>
      </w:r>
    </w:p>
    <w:p w14:paraId="3B87DCF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了解风险交流的定义和主要目标；</w:t>
      </w:r>
    </w:p>
    <w:p w14:paraId="0CF5456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cs="Times New Roman"/>
          <w:color w:val="auto"/>
          <w:kern w:val="2"/>
          <w:sz w:val="24"/>
          <w:szCs w:val="24"/>
          <w:lang w:val="en-US" w:eastAsia="zh-CN" w:bidi="ar-SA"/>
        </w:rPr>
        <w:t>3</w:t>
      </w: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eastAsia="宋体" w:cs="Times New Roman"/>
          <w:color w:val="auto"/>
          <w:kern w:val="2"/>
          <w:sz w:val="24"/>
          <w:szCs w:val="24"/>
          <w:highlight w:val="none"/>
          <w:lang w:val="en-US" w:eastAsia="zh-CN" w:bidi="ar-SA"/>
        </w:rPr>
        <w:t>食品安全风险评估的方法</w:t>
      </w:r>
    </w:p>
    <w:p w14:paraId="1FAD3CA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掌握食品安全风险评估的四个基本步骤；</w:t>
      </w:r>
    </w:p>
    <w:p w14:paraId="54BDAFD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了解危害识别的定义和手段；</w:t>
      </w:r>
    </w:p>
    <w:p w14:paraId="64B6E90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了解危害特征描述的定义、主要解决的问题和剂量-反应关系；</w:t>
      </w:r>
    </w:p>
    <w:p w14:paraId="35BCE22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w:t>
      </w:r>
      <w:r>
        <w:rPr>
          <w:rFonts w:hint="eastAsia" w:ascii="Times New Roman" w:hAnsi="Times New Roman" w:eastAsia="宋体" w:cs="Times New Roman"/>
          <w:color w:val="auto"/>
          <w:kern w:val="2"/>
          <w:sz w:val="24"/>
          <w:szCs w:val="24"/>
          <w:highlight w:val="none"/>
          <w:lang w:val="en-US" w:eastAsia="zh-CN" w:bidi="ar-SA"/>
        </w:rPr>
        <w:t>每日允许摄入量（ADI）、每日耐受摄入量（TDI）和参考剂量（RfD）的定义与区别；</w:t>
      </w:r>
    </w:p>
    <w:p w14:paraId="4FBB7AC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了解暴露评估的定义和主要方法，不确定性的概念；</w:t>
      </w:r>
    </w:p>
    <w:p w14:paraId="722F25A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了解风险特征描述的定义和分类；</w:t>
      </w:r>
    </w:p>
    <w:p w14:paraId="7B3A88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cs="Times New Roman"/>
          <w:color w:val="auto"/>
          <w:kern w:val="2"/>
          <w:sz w:val="24"/>
          <w:szCs w:val="24"/>
          <w:lang w:val="en-US" w:eastAsia="zh-CN" w:bidi="ar-SA"/>
        </w:rPr>
        <w:t>4</w:t>
      </w: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eastAsia="宋体" w:cs="Times New Roman"/>
          <w:color w:val="auto"/>
          <w:kern w:val="2"/>
          <w:sz w:val="24"/>
          <w:szCs w:val="24"/>
          <w:highlight w:val="none"/>
          <w:lang w:val="en-US" w:eastAsia="zh-CN" w:bidi="ar-SA"/>
        </w:rPr>
        <w:t>食品安全危害因子及食品添加剂风险管理</w:t>
      </w:r>
    </w:p>
    <w:p w14:paraId="1AAEAC63">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了解食品中黄曲霉毒素的风险评估案例；</w:t>
      </w:r>
    </w:p>
    <w:p w14:paraId="0FD5F224">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了解农药残留、兽药残留、天然毒素、有害微生物和食品添加剂的风险评估方法；</w:t>
      </w:r>
    </w:p>
    <w:p w14:paraId="5EE9E01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cs="Times New Roman"/>
          <w:color w:val="auto"/>
          <w:kern w:val="2"/>
          <w:sz w:val="24"/>
          <w:szCs w:val="24"/>
          <w:lang w:val="en-US" w:eastAsia="zh-CN" w:bidi="ar-SA"/>
        </w:rPr>
        <w:t>5</w:t>
      </w:r>
      <w:r>
        <w:rPr>
          <w:rFonts w:hint="eastAsia" w:ascii="Times New Roman" w:hAnsi="Times New Roman" w:eastAsia="宋体" w:cs="Times New Roman"/>
          <w:color w:val="auto"/>
          <w:kern w:val="2"/>
          <w:sz w:val="24"/>
          <w:szCs w:val="24"/>
          <w:lang w:val="en-US" w:eastAsia="zh-CN" w:bidi="ar-SA"/>
        </w:rPr>
        <w:t>）</w:t>
      </w:r>
      <w:r>
        <w:rPr>
          <w:rFonts w:hint="eastAsia" w:ascii="Times New Roman" w:hAnsi="Times New Roman" w:eastAsia="宋体" w:cs="Times New Roman"/>
          <w:color w:val="auto"/>
          <w:kern w:val="2"/>
          <w:sz w:val="24"/>
          <w:szCs w:val="24"/>
          <w:highlight w:val="none"/>
          <w:lang w:val="en-US" w:eastAsia="zh-CN" w:bidi="ar-SA"/>
        </w:rPr>
        <w:t>食品安全评估的数学模型及相关软件应用</w:t>
      </w:r>
    </w:p>
    <w:p w14:paraId="3A59694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了解食品安全风险评估中的数学模型内容种类；</w:t>
      </w:r>
    </w:p>
    <w:p w14:paraId="02C0F047">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b/>
          <w:color w:val="auto"/>
          <w:sz w:val="24"/>
          <w:szCs w:val="24"/>
          <w:highlight w:val="none"/>
          <w:lang w:val="en-US"/>
        </w:rPr>
      </w:pPr>
      <w:r>
        <w:rPr>
          <w:rFonts w:hint="eastAsia" w:ascii="Times New Roman" w:hAnsi="Times New Roman" w:cs="Times New Roman"/>
          <w:color w:val="auto"/>
          <w:kern w:val="2"/>
          <w:sz w:val="24"/>
          <w:szCs w:val="24"/>
          <w:highlight w:val="none"/>
          <w:lang w:val="en-US" w:eastAsia="zh-CN" w:bidi="ar-SA"/>
        </w:rPr>
        <w:t>了解</w:t>
      </w:r>
      <w:r>
        <w:rPr>
          <w:rFonts w:hint="default" w:ascii="Times New Roman" w:hAnsi="Times New Roman" w:eastAsia="宋体" w:cs="Times New Roman"/>
          <w:color w:val="auto"/>
          <w:kern w:val="2"/>
          <w:sz w:val="24"/>
          <w:szCs w:val="24"/>
          <w:highlight w:val="none"/>
          <w:lang w:val="en-US" w:eastAsia="zh-CN" w:bidi="ar-SA"/>
        </w:rPr>
        <w:t>食品安全风险评估相关软件应用</w:t>
      </w:r>
      <w:r>
        <w:rPr>
          <w:rFonts w:hint="eastAsia" w:ascii="Times New Roman" w:hAnsi="Times New Roman" w:cs="Times New Roman"/>
          <w:color w:val="auto"/>
          <w:kern w:val="2"/>
          <w:sz w:val="24"/>
          <w:szCs w:val="24"/>
          <w:highlight w:val="none"/>
          <w:lang w:val="en-US" w:eastAsia="zh-CN" w:bidi="ar-SA"/>
        </w:rPr>
        <w:t>实例。</w:t>
      </w:r>
    </w:p>
    <w:p w14:paraId="0BC4290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b/>
          <w:sz w:val="28"/>
          <w:szCs w:val="28"/>
        </w:rPr>
      </w:pPr>
      <w:r>
        <w:rPr>
          <w:rFonts w:hint="eastAsia" w:ascii="Times New Roman" w:hAnsi="Times New Roman"/>
          <w:b/>
          <w:sz w:val="28"/>
          <w:szCs w:val="28"/>
        </w:rPr>
        <w:t>第</w:t>
      </w:r>
      <w:r>
        <w:rPr>
          <w:rFonts w:hint="eastAsia" w:ascii="Times New Roman" w:hAnsi="Times New Roman"/>
          <w:b/>
          <w:sz w:val="28"/>
          <w:szCs w:val="28"/>
          <w:lang w:val="en-US" w:eastAsia="zh-CN"/>
        </w:rPr>
        <w:t>十章</w:t>
      </w:r>
      <w:r>
        <w:rPr>
          <w:rFonts w:hint="eastAsia" w:ascii="Times New Roman" w:hAnsi="Times New Roman"/>
          <w:b/>
          <w:sz w:val="28"/>
          <w:szCs w:val="28"/>
        </w:rPr>
        <w:t>：营养伴生变化</w:t>
      </w:r>
    </w:p>
    <w:p w14:paraId="37100AD7">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营养伴生变化</w:t>
      </w:r>
    </w:p>
    <w:p w14:paraId="6FD4C30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掌握典型的营养伴生变化种类</w:t>
      </w:r>
      <w:r>
        <w:rPr>
          <w:rFonts w:hint="eastAsia" w:ascii="Times New Roman" w:hAnsi="Times New Roman"/>
          <w:sz w:val="24"/>
          <w:szCs w:val="24"/>
          <w:lang w:eastAsia="zh-CN"/>
        </w:rPr>
        <w:t>；</w:t>
      </w:r>
    </w:p>
    <w:p w14:paraId="3FBBE006">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w:t>
      </w:r>
      <w:r>
        <w:rPr>
          <w:rFonts w:ascii="Times New Roman" w:hAnsi="Times New Roman"/>
          <w:sz w:val="24"/>
          <w:szCs w:val="24"/>
        </w:rPr>
        <w:t>脂肪氧化的概念、</w:t>
      </w:r>
      <w:r>
        <w:rPr>
          <w:rFonts w:hint="eastAsia" w:ascii="Times New Roman" w:hAnsi="Times New Roman"/>
          <w:sz w:val="24"/>
          <w:szCs w:val="24"/>
        </w:rPr>
        <w:t>分类、影响因素、</w:t>
      </w:r>
      <w:r>
        <w:rPr>
          <w:rFonts w:ascii="Times New Roman" w:hAnsi="Times New Roman"/>
          <w:sz w:val="24"/>
          <w:szCs w:val="24"/>
        </w:rPr>
        <w:t>危害</w:t>
      </w:r>
      <w:r>
        <w:rPr>
          <w:rFonts w:hint="eastAsia" w:ascii="Times New Roman" w:hAnsi="Times New Roman"/>
          <w:sz w:val="24"/>
          <w:szCs w:val="24"/>
        </w:rPr>
        <w:t>以及预防措施</w:t>
      </w:r>
      <w:r>
        <w:rPr>
          <w:rFonts w:ascii="Times New Roman" w:hAnsi="Times New Roman"/>
          <w:sz w:val="24"/>
          <w:szCs w:val="24"/>
        </w:rPr>
        <w:t>；</w:t>
      </w:r>
    </w:p>
    <w:p w14:paraId="45F2C10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了解反式脂肪酸的基本概念、慢性危害与流行病学证据；</w:t>
      </w:r>
    </w:p>
    <w:p w14:paraId="0CBA71A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w:t>
      </w:r>
      <w:r>
        <w:rPr>
          <w:rFonts w:ascii="Times New Roman" w:hAnsi="Times New Roman"/>
          <w:sz w:val="24"/>
          <w:szCs w:val="24"/>
        </w:rPr>
        <w:t>蛋白质变性的概念、发生条件以及成因；</w:t>
      </w:r>
    </w:p>
    <w:p w14:paraId="1897020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firstLineChars="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了解维生素破坏的成因以及预防措施。</w:t>
      </w:r>
    </w:p>
    <w:p w14:paraId="3D6408A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b/>
          <w:sz w:val="28"/>
          <w:szCs w:val="28"/>
          <w:lang w:val="en-US" w:eastAsia="zh-CN"/>
        </w:rPr>
      </w:pPr>
      <w:r>
        <w:rPr>
          <w:rFonts w:hint="eastAsia" w:ascii="Times New Roman" w:hAnsi="Times New Roman"/>
          <w:b/>
          <w:sz w:val="28"/>
          <w:szCs w:val="28"/>
        </w:rPr>
        <w:t>第十</w:t>
      </w:r>
      <w:r>
        <w:rPr>
          <w:rFonts w:hint="eastAsia" w:ascii="Times New Roman" w:hAnsi="Times New Roman"/>
          <w:b/>
          <w:sz w:val="28"/>
          <w:szCs w:val="28"/>
          <w:lang w:val="en-US" w:eastAsia="zh-CN"/>
        </w:rPr>
        <w:t>一章</w:t>
      </w:r>
      <w:r>
        <w:rPr>
          <w:rFonts w:hint="eastAsia" w:ascii="Times New Roman" w:hAnsi="Times New Roman"/>
          <w:b/>
          <w:sz w:val="28"/>
          <w:szCs w:val="28"/>
        </w:rPr>
        <w:t>：营养稳态与代谢性疾病</w:t>
      </w:r>
    </w:p>
    <w:p w14:paraId="5F0E6D7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营养素与营养稳态</w:t>
      </w:r>
    </w:p>
    <w:p w14:paraId="6107EB2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掌握营养素的分类</w:t>
      </w:r>
      <w:r>
        <w:rPr>
          <w:rFonts w:hint="eastAsia" w:ascii="Times New Roman" w:hAnsi="Times New Roman"/>
          <w:sz w:val="24"/>
          <w:szCs w:val="24"/>
          <w:lang w:eastAsia="zh-CN"/>
        </w:rPr>
        <w:t>；</w:t>
      </w:r>
    </w:p>
    <w:p w14:paraId="0AA15A2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蛋白质、脂肪、碳水化合物、矿物质（钙，铁）摄入不足或过多造成的危害</w:t>
      </w:r>
      <w:r>
        <w:rPr>
          <w:rFonts w:ascii="Times New Roman" w:hAnsi="Times New Roman"/>
          <w:sz w:val="24"/>
          <w:szCs w:val="24"/>
        </w:rPr>
        <w:t>；</w:t>
      </w:r>
    </w:p>
    <w:p w14:paraId="5D51FBD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了解维生素A、C、D、E的食物来源以及摄入过多或缺乏对人体的危害</w:t>
      </w:r>
      <w:r>
        <w:rPr>
          <w:rFonts w:ascii="Times New Roman" w:hAnsi="Times New Roman"/>
          <w:sz w:val="24"/>
          <w:szCs w:val="24"/>
        </w:rPr>
        <w:t>；</w:t>
      </w:r>
    </w:p>
    <w:p w14:paraId="15054B3B">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能量代谢与代谢平衡</w:t>
      </w:r>
    </w:p>
    <w:p w14:paraId="70816C8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人体每日能量消耗的主要方式；</w:t>
      </w:r>
    </w:p>
    <w:p w14:paraId="3650CF5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了解基础代谢的定义以及影响基础代谢的因素；</w:t>
      </w:r>
    </w:p>
    <w:p w14:paraId="015FFFD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了解食物热效应的定义以及营养素的食物热效应大小；</w:t>
      </w:r>
    </w:p>
    <w:p w14:paraId="4D8ABD6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了解能量代谢失衡可能造成的危害；</w:t>
      </w:r>
    </w:p>
    <w:p w14:paraId="320D2559">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代谢与代谢性疾病</w:t>
      </w:r>
    </w:p>
    <w:p w14:paraId="3AB7F69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机体代谢的过程以及代谢性疾病的种类。</w:t>
      </w:r>
    </w:p>
    <w:p w14:paraId="1AA82373">
      <w:pPr>
        <w:keepNext w:val="0"/>
        <w:keepLines w:val="0"/>
        <w:pageBreakBefore w:val="0"/>
        <w:widowControl w:val="0"/>
        <w:kinsoku/>
        <w:wordWrap/>
        <w:overflowPunct/>
        <w:topLinePunct w:val="0"/>
        <w:autoSpaceDE/>
        <w:autoSpaceDN/>
        <w:bidi w:val="0"/>
        <w:adjustRightInd/>
        <w:snapToGrid/>
        <w:spacing w:line="300" w:lineRule="auto"/>
        <w:ind w:left="420" w:firstLine="1968" w:firstLineChars="70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b/>
          <w:kern w:val="2"/>
          <w:sz w:val="28"/>
          <w:szCs w:val="28"/>
          <w:lang w:val="en-US" w:eastAsia="zh-CN" w:bidi="ar-SA"/>
        </w:rPr>
        <w:t>第十</w:t>
      </w:r>
      <w:r>
        <w:rPr>
          <w:rFonts w:hint="eastAsia" w:ascii="Times New Roman" w:hAnsi="Times New Roman" w:cs="Times New Roman"/>
          <w:b/>
          <w:kern w:val="2"/>
          <w:sz w:val="28"/>
          <w:szCs w:val="28"/>
          <w:lang w:val="en-US" w:eastAsia="zh-CN" w:bidi="ar-SA"/>
        </w:rPr>
        <w:t>二</w:t>
      </w:r>
      <w:r>
        <w:rPr>
          <w:rFonts w:hint="eastAsia" w:ascii="Times New Roman" w:hAnsi="Times New Roman" w:eastAsia="宋体" w:cs="Times New Roman"/>
          <w:b/>
          <w:kern w:val="2"/>
          <w:sz w:val="28"/>
          <w:szCs w:val="28"/>
          <w:lang w:val="en-US" w:eastAsia="zh-CN" w:bidi="ar-SA"/>
        </w:rPr>
        <w:t>章：膳食模式与膳食指南</w:t>
      </w:r>
    </w:p>
    <w:p w14:paraId="129D431B">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720" w:hanging="720" w:firstLineChars="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营养流行病学</w:t>
      </w:r>
    </w:p>
    <w:p w14:paraId="4991CD2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了解营养流行病学的定义，应用，以及膳食调查方法（称重法、</w:t>
      </w:r>
      <w:r>
        <w:rPr>
          <w:rFonts w:ascii="Times New Roman" w:hAnsi="Times New Roman"/>
          <w:sz w:val="24"/>
          <w:szCs w:val="24"/>
        </w:rPr>
        <w:t>记帐法</w:t>
      </w:r>
      <w:r>
        <w:rPr>
          <w:rFonts w:hint="eastAsia" w:ascii="Times New Roman" w:hAnsi="Times New Roman"/>
          <w:sz w:val="24"/>
          <w:szCs w:val="24"/>
        </w:rPr>
        <w:t>、膳食记录法、</w:t>
      </w:r>
      <w:r>
        <w:rPr>
          <w:rFonts w:ascii="Times New Roman" w:hAnsi="Times New Roman"/>
          <w:sz w:val="24"/>
          <w:szCs w:val="24"/>
        </w:rPr>
        <w:t>食物频数法</w:t>
      </w:r>
      <w:r>
        <w:rPr>
          <w:rFonts w:hint="eastAsia" w:ascii="Times New Roman" w:hAnsi="Times New Roman"/>
          <w:sz w:val="24"/>
          <w:szCs w:val="24"/>
        </w:rPr>
        <w:t>、</w:t>
      </w:r>
      <w:r>
        <w:rPr>
          <w:rFonts w:ascii="Times New Roman" w:hAnsi="Times New Roman"/>
          <w:sz w:val="24"/>
          <w:szCs w:val="24"/>
        </w:rPr>
        <w:t>回顾法</w:t>
      </w:r>
      <w:r>
        <w:rPr>
          <w:rFonts w:hint="eastAsia" w:ascii="Times New Roman" w:hAnsi="Times New Roman"/>
          <w:sz w:val="24"/>
          <w:szCs w:val="24"/>
        </w:rPr>
        <w:t>）；</w:t>
      </w:r>
    </w:p>
    <w:p w14:paraId="781AE5E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（2）当今世界各国的膳食模式</w:t>
      </w:r>
    </w:p>
    <w:p w14:paraId="52AC5C3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掌握代表性膳食模式的种类；</w:t>
      </w:r>
    </w:p>
    <w:p w14:paraId="342D177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了解东方膳食模式、经济发达国家膳食模式、日本膳食模式、地中海膳食模式、</w:t>
      </w:r>
      <w:r>
        <w:rPr>
          <w:rFonts w:ascii="Times New Roman" w:hAnsi="Times New Roman"/>
          <w:sz w:val="24"/>
          <w:szCs w:val="24"/>
        </w:rPr>
        <w:t>DASH饮食</w:t>
      </w:r>
      <w:r>
        <w:rPr>
          <w:rFonts w:hint="eastAsia" w:ascii="Times New Roman" w:hAnsi="Times New Roman"/>
          <w:sz w:val="24"/>
          <w:szCs w:val="24"/>
        </w:rPr>
        <w:t>、弹性素食的特点；</w:t>
      </w:r>
    </w:p>
    <w:p w14:paraId="3C79DF4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了解中国居民的膳食结构及其存在的问题</w:t>
      </w:r>
      <w:r>
        <w:rPr>
          <w:rFonts w:hint="eastAsia" w:ascii="Times New Roman" w:hAnsi="Times New Roman"/>
          <w:sz w:val="24"/>
          <w:szCs w:val="24"/>
          <w:lang w:eastAsia="zh-CN"/>
        </w:rPr>
        <w:t>；</w:t>
      </w:r>
    </w:p>
    <w:p w14:paraId="15984C26">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膳食指南</w:t>
      </w:r>
    </w:p>
    <w:p w14:paraId="7A85DE7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了解膳食指南的定义</w:t>
      </w:r>
      <w:r>
        <w:rPr>
          <w:rFonts w:hint="eastAsia" w:ascii="Times New Roman" w:hAnsi="Times New Roman"/>
          <w:sz w:val="24"/>
          <w:szCs w:val="24"/>
          <w:lang w:eastAsia="zh-CN"/>
        </w:rPr>
        <w:t>；</w:t>
      </w:r>
    </w:p>
    <w:p w14:paraId="4CD246A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rPr>
        <w:t>了解膳食宝塔的构成以及核心准则</w:t>
      </w:r>
      <w:r>
        <w:rPr>
          <w:rFonts w:hint="eastAsia" w:ascii="Times New Roman" w:hAnsi="Times New Roman"/>
          <w:sz w:val="24"/>
          <w:szCs w:val="24"/>
          <w:lang w:eastAsia="zh-CN"/>
        </w:rPr>
        <w:t>；</w:t>
      </w:r>
    </w:p>
    <w:p w14:paraId="1A58662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textAlignment w:val="auto"/>
        <w:rPr>
          <w:rFonts w:ascii="Times New Roman" w:hAnsi="Times New Roman"/>
          <w:sz w:val="24"/>
          <w:szCs w:val="24"/>
        </w:rPr>
      </w:pPr>
      <w:r>
        <w:rPr>
          <w:rFonts w:hint="eastAsia" w:ascii="Times New Roman" w:hAnsi="Times New Roman"/>
          <w:sz w:val="24"/>
          <w:szCs w:val="24"/>
          <w:lang w:val="en-US" w:eastAsia="zh-CN"/>
        </w:rPr>
        <w:t>掌握</w:t>
      </w:r>
      <w:r>
        <w:rPr>
          <w:rFonts w:ascii="Times New Roman" w:hAnsi="Times New Roman"/>
          <w:sz w:val="24"/>
          <w:szCs w:val="24"/>
        </w:rPr>
        <w:t>2022版《中国居民膳食指南》</w:t>
      </w:r>
      <w:r>
        <w:rPr>
          <w:rFonts w:hint="eastAsia" w:ascii="Times New Roman" w:hAnsi="Times New Roman"/>
          <w:sz w:val="24"/>
          <w:szCs w:val="24"/>
        </w:rPr>
        <w:t>相较于2</w:t>
      </w:r>
      <w:r>
        <w:rPr>
          <w:rFonts w:ascii="Times New Roman" w:hAnsi="Times New Roman"/>
          <w:sz w:val="24"/>
          <w:szCs w:val="24"/>
        </w:rPr>
        <w:t>016</w:t>
      </w:r>
      <w:r>
        <w:rPr>
          <w:rFonts w:hint="eastAsia" w:ascii="Times New Roman" w:hAnsi="Times New Roman"/>
          <w:sz w:val="24"/>
          <w:szCs w:val="24"/>
        </w:rPr>
        <w:t>版的不同（包括膳食宝塔和核心准则）</w:t>
      </w:r>
      <w:r>
        <w:rPr>
          <w:rFonts w:hint="eastAsia" w:ascii="Times New Roman" w:hAnsi="Times New Roman"/>
          <w:sz w:val="24"/>
          <w:szCs w:val="24"/>
          <w:lang w:eastAsia="zh-CN"/>
        </w:rPr>
        <w:t>。</w:t>
      </w:r>
    </w:p>
    <w:p w14:paraId="05714A4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center"/>
        <w:textAlignment w:val="auto"/>
        <w:rPr>
          <w:rFonts w:hint="eastAsia" w:ascii="Times New Roman" w:hAnsi="Times New Roman"/>
          <w:b/>
          <w:color w:val="auto"/>
          <w:sz w:val="28"/>
          <w:szCs w:val="28"/>
          <w:highlight w:val="none"/>
        </w:rPr>
      </w:pPr>
      <w:r>
        <w:rPr>
          <w:rFonts w:hint="eastAsia" w:ascii="Times New Roman" w:hAnsi="Times New Roman"/>
          <w:b/>
          <w:color w:val="auto"/>
          <w:sz w:val="28"/>
          <w:szCs w:val="28"/>
          <w:highlight w:val="none"/>
          <w:lang w:val="en-US" w:eastAsia="zh-CN"/>
        </w:rPr>
        <w:t>第十三章</w:t>
      </w:r>
      <w:r>
        <w:rPr>
          <w:rFonts w:hint="eastAsia" w:ascii="Times New Roman" w:hAnsi="Times New Roman"/>
          <w:b/>
          <w:color w:val="auto"/>
          <w:sz w:val="28"/>
          <w:szCs w:val="28"/>
          <w:highlight w:val="none"/>
        </w:rPr>
        <w:t>：食品安全法律法规</w:t>
      </w:r>
    </w:p>
    <w:p w14:paraId="5AC57BF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（1）食品安全问题现状</w:t>
      </w:r>
    </w:p>
    <w:p w14:paraId="7C1C770B">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w:t>
      </w:r>
      <w:r>
        <w:rPr>
          <w:rFonts w:hint="eastAsia" w:ascii="Times New Roman" w:hAnsi="Times New Roman"/>
          <w:sz w:val="24"/>
          <w:szCs w:val="24"/>
        </w:rPr>
        <w:t>中国</w:t>
      </w:r>
      <w:r>
        <w:rPr>
          <w:rFonts w:hint="eastAsia" w:ascii="Times New Roman" w:hAnsi="Times New Roman" w:cs="Times New Roman"/>
          <w:color w:val="auto"/>
          <w:kern w:val="2"/>
          <w:sz w:val="24"/>
          <w:szCs w:val="24"/>
          <w:highlight w:val="none"/>
          <w:lang w:val="en-US" w:eastAsia="zh-CN" w:bidi="ar-SA"/>
        </w:rPr>
        <w:t>食品安全问题现状以及原因；</w:t>
      </w:r>
    </w:p>
    <w:p w14:paraId="2B979E2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（2）新《食品安全法》</w:t>
      </w:r>
    </w:p>
    <w:p w14:paraId="78C422B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sz w:val="24"/>
          <w:szCs w:val="24"/>
        </w:rPr>
        <w:t>了解中国古代食品安全相关法律发展历程</w:t>
      </w:r>
      <w:r>
        <w:rPr>
          <w:rFonts w:hint="eastAsia" w:ascii="Times New Roman" w:hAnsi="Times New Roman"/>
          <w:sz w:val="24"/>
          <w:szCs w:val="24"/>
          <w:lang w:eastAsia="zh-CN"/>
        </w:rPr>
        <w:t>，</w:t>
      </w:r>
      <w:r>
        <w:rPr>
          <w:rFonts w:hint="eastAsia" w:ascii="Times New Roman" w:hAnsi="Times New Roman" w:eastAsia="宋体" w:cs="Times New Roman"/>
          <w:color w:val="auto"/>
          <w:kern w:val="2"/>
          <w:sz w:val="24"/>
          <w:szCs w:val="24"/>
          <w:highlight w:val="none"/>
          <w:lang w:val="en-US" w:eastAsia="zh-CN" w:bidi="ar-SA"/>
        </w:rPr>
        <w:t>食品监管法律制度的历史演变</w:t>
      </w:r>
      <w:r>
        <w:rPr>
          <w:rFonts w:hint="eastAsia" w:ascii="Times New Roman" w:hAnsi="Times New Roman" w:cs="Times New Roman"/>
          <w:color w:val="auto"/>
          <w:kern w:val="2"/>
          <w:sz w:val="24"/>
          <w:szCs w:val="24"/>
          <w:highlight w:val="none"/>
          <w:lang w:val="en-US" w:eastAsia="zh-CN" w:bidi="ar-SA"/>
        </w:rPr>
        <w:t>，以及食品卫生法存在的问题；</w:t>
      </w:r>
    </w:p>
    <w:p w14:paraId="727E816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ascii="Times New Roman" w:hAnsi="Times New Roman"/>
          <w:sz w:val="24"/>
          <w:szCs w:val="24"/>
        </w:rPr>
        <w:t>掌握国家《食品安全法》的主要内容，与具体实例相结合，解读《食品安全法》中</w:t>
      </w:r>
      <w:r>
        <w:rPr>
          <w:rFonts w:hint="eastAsia" w:ascii="Times New Roman" w:hAnsi="Times New Roman"/>
          <w:sz w:val="24"/>
          <w:szCs w:val="24"/>
        </w:rPr>
        <w:t>的关键知识点，了解该法在国民经济与人类健康事业发展中的重要地位和作用；</w:t>
      </w:r>
    </w:p>
    <w:p w14:paraId="45F5A6A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leftChars="0" w:firstLine="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（3）食品安全国家标准</w:t>
      </w:r>
    </w:p>
    <w:p w14:paraId="6431A68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了解食品安全标准定义、内容以及我国食品安全标准体系演变过程；</w:t>
      </w:r>
    </w:p>
    <w:p w14:paraId="3B50C0A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hint="eastAsia" w:ascii="Times New Roman" w:hAnsi="Times New Roman" w:cs="Times New Roman"/>
          <w:color w:val="auto"/>
          <w:kern w:val="2"/>
          <w:sz w:val="24"/>
          <w:szCs w:val="24"/>
          <w:highlight w:val="none"/>
          <w:lang w:val="en-US" w:eastAsia="zh-CN" w:bidi="ar-SA"/>
        </w:rPr>
        <w:t>了解</w:t>
      </w:r>
      <w:r>
        <w:rPr>
          <w:rFonts w:hint="eastAsia" w:ascii="Times New Roman" w:hAnsi="Times New Roman"/>
          <w:b w:val="0"/>
          <w:bCs w:val="0"/>
          <w:sz w:val="24"/>
          <w:szCs w:val="24"/>
        </w:rPr>
        <w:t>我国与其他国家食品安全法律的区别</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通过横向对比，发现本国食品安全法律存在的不足之处</w:t>
      </w:r>
      <w:r>
        <w:rPr>
          <w:rFonts w:hint="eastAsia" w:ascii="Times New Roman" w:hAnsi="Times New Roman"/>
          <w:b w:val="0"/>
          <w:bCs w:val="0"/>
          <w:sz w:val="24"/>
          <w:szCs w:val="24"/>
          <w:lang w:eastAsia="zh-CN"/>
        </w:rPr>
        <w:t>。</w:t>
      </w:r>
    </w:p>
    <w:p w14:paraId="28EC12C3">
      <w:pPr>
        <w:keepNext w:val="0"/>
        <w:keepLines w:val="0"/>
        <w:pageBreakBefore w:val="0"/>
        <w:widowControl w:val="0"/>
        <w:kinsoku/>
        <w:wordWrap/>
        <w:overflowPunct/>
        <w:topLinePunct w:val="0"/>
        <w:autoSpaceDE/>
        <w:autoSpaceDN/>
        <w:bidi w:val="0"/>
        <w:adjustRightInd/>
        <w:snapToGrid/>
        <w:spacing w:line="300" w:lineRule="auto"/>
        <w:ind w:left="0" w:firstLine="0"/>
        <w:jc w:val="center"/>
        <w:textAlignment w:val="auto"/>
        <w:rPr>
          <w:rFonts w:hint="eastAsia" w:ascii="Times New Roman" w:hAnsi="Times New Roman"/>
          <w:b/>
          <w:sz w:val="28"/>
          <w:szCs w:val="28"/>
        </w:rPr>
      </w:pPr>
      <w:r>
        <w:rPr>
          <w:rFonts w:hint="eastAsia" w:ascii="Times New Roman" w:hAnsi="Times New Roman"/>
          <w:b/>
          <w:sz w:val="28"/>
          <w:szCs w:val="28"/>
        </w:rPr>
        <w:t>第十</w:t>
      </w:r>
      <w:r>
        <w:rPr>
          <w:rFonts w:hint="eastAsia" w:ascii="Times New Roman" w:hAnsi="Times New Roman"/>
          <w:b/>
          <w:sz w:val="28"/>
          <w:szCs w:val="28"/>
          <w:lang w:val="en-US" w:eastAsia="zh-CN"/>
        </w:rPr>
        <w:t>四</w:t>
      </w:r>
      <w:r>
        <w:rPr>
          <w:rFonts w:hint="eastAsia" w:ascii="Times New Roman" w:hAnsi="Times New Roman"/>
          <w:b/>
          <w:sz w:val="28"/>
          <w:szCs w:val="28"/>
        </w:rPr>
        <w:t>章：食品安全快速检测与筛查技术</w:t>
      </w:r>
    </w:p>
    <w:p w14:paraId="0C69A387">
      <w:pPr>
        <w:pStyle w:val="6"/>
        <w:numPr>
          <w:ilvl w:val="0"/>
          <w:numId w:val="6"/>
        </w:numPr>
        <w:spacing w:line="300" w:lineRule="auto"/>
        <w:ind w:left="420" w:leftChars="0" w:hanging="420" w:firstLineChars="0"/>
        <w:rPr>
          <w:rFonts w:ascii="Times New Roman" w:hAnsi="Times New Roman"/>
          <w:sz w:val="24"/>
          <w:szCs w:val="24"/>
        </w:rPr>
      </w:pPr>
      <w:r>
        <w:rPr>
          <w:rFonts w:hint="eastAsia" w:ascii="Times New Roman" w:hAnsi="Times New Roman"/>
          <w:sz w:val="24"/>
          <w:szCs w:val="24"/>
        </w:rPr>
        <w:t>了解食品安全快速检测技术的</w:t>
      </w:r>
      <w:r>
        <w:rPr>
          <w:rFonts w:hint="eastAsia" w:ascii="Times New Roman" w:hAnsi="Times New Roman"/>
          <w:sz w:val="24"/>
          <w:szCs w:val="24"/>
          <w:lang w:val="en-US" w:eastAsia="zh-CN"/>
        </w:rPr>
        <w:t>定义、</w:t>
      </w:r>
      <w:r>
        <w:rPr>
          <w:rFonts w:hint="eastAsia" w:ascii="Times New Roman" w:hAnsi="Times New Roman"/>
          <w:sz w:val="24"/>
          <w:szCs w:val="24"/>
        </w:rPr>
        <w:t>分类、方法原理、优缺点和应用范围；</w:t>
      </w:r>
    </w:p>
    <w:p w14:paraId="401171FF">
      <w:pPr>
        <w:pStyle w:val="6"/>
        <w:numPr>
          <w:ilvl w:val="0"/>
          <w:numId w:val="6"/>
        </w:numPr>
        <w:spacing w:line="300" w:lineRule="auto"/>
        <w:ind w:left="420" w:leftChars="0" w:hanging="420" w:firstLineChars="0"/>
        <w:rPr>
          <w:rFonts w:ascii="Times New Roman" w:hAnsi="Times New Roman"/>
          <w:sz w:val="24"/>
          <w:szCs w:val="24"/>
        </w:rPr>
      </w:pPr>
      <w:r>
        <w:rPr>
          <w:rFonts w:hint="eastAsia" w:ascii="Times New Roman" w:hAnsi="Times New Roman"/>
          <w:sz w:val="24"/>
          <w:szCs w:val="24"/>
        </w:rPr>
        <w:t>了解食品安全危险因素筛查过程中的靶向与非靶向技术以及应用范围；</w:t>
      </w:r>
    </w:p>
    <w:p w14:paraId="36A48A5E">
      <w:pPr>
        <w:pStyle w:val="6"/>
        <w:numPr>
          <w:ilvl w:val="0"/>
          <w:numId w:val="6"/>
        </w:numPr>
        <w:spacing w:line="300" w:lineRule="auto"/>
        <w:ind w:left="420" w:leftChars="0" w:hanging="420" w:firstLineChars="0"/>
        <w:rPr>
          <w:rFonts w:ascii="Times New Roman" w:hAnsi="Times New Roman"/>
          <w:sz w:val="24"/>
          <w:szCs w:val="24"/>
        </w:rPr>
      </w:pPr>
      <w:r>
        <w:rPr>
          <w:rFonts w:hint="eastAsia" w:ascii="Times New Roman" w:hAnsi="Times New Roman"/>
          <w:sz w:val="24"/>
          <w:szCs w:val="24"/>
        </w:rPr>
        <w:t>了解高通量与芯片技术在食品安全快速筛查方面的应用前景。</w:t>
      </w:r>
    </w:p>
    <w:p w14:paraId="0FF7F0D7">
      <w:pPr>
        <w:keepNext w:val="0"/>
        <w:keepLines w:val="0"/>
        <w:pageBreakBefore w:val="0"/>
        <w:widowControl w:val="0"/>
        <w:kinsoku/>
        <w:wordWrap/>
        <w:overflowPunct/>
        <w:topLinePunct w:val="0"/>
        <w:autoSpaceDE/>
        <w:autoSpaceDN/>
        <w:bidi w:val="0"/>
        <w:adjustRightInd/>
        <w:snapToGrid/>
        <w:spacing w:line="300" w:lineRule="auto"/>
        <w:ind w:left="0" w:firstLine="0"/>
        <w:jc w:val="center"/>
        <w:textAlignment w:val="auto"/>
        <w:rPr>
          <w:rFonts w:ascii="Times New Roman" w:hAnsi="Times New Roman"/>
          <w:b/>
          <w:sz w:val="28"/>
          <w:szCs w:val="28"/>
        </w:rPr>
      </w:pPr>
      <w:r>
        <w:rPr>
          <w:rFonts w:hint="eastAsia" w:ascii="Times New Roman" w:hAnsi="Times New Roman"/>
          <w:b/>
          <w:sz w:val="28"/>
          <w:szCs w:val="28"/>
        </w:rPr>
        <w:t>第十</w:t>
      </w:r>
      <w:r>
        <w:rPr>
          <w:rFonts w:hint="eastAsia" w:ascii="Times New Roman" w:hAnsi="Times New Roman"/>
          <w:b/>
          <w:sz w:val="28"/>
          <w:szCs w:val="28"/>
          <w:lang w:val="en-US" w:eastAsia="zh-CN"/>
        </w:rPr>
        <w:t>五</w:t>
      </w:r>
      <w:bookmarkStart w:id="0" w:name="_GoBack"/>
      <w:bookmarkEnd w:id="0"/>
      <w:r>
        <w:rPr>
          <w:rFonts w:hint="eastAsia" w:ascii="Times New Roman" w:hAnsi="Times New Roman"/>
          <w:b/>
          <w:sz w:val="28"/>
          <w:szCs w:val="28"/>
        </w:rPr>
        <w:t>章：食品安全交叉科学与新兴技术</w:t>
      </w:r>
    </w:p>
    <w:p w14:paraId="0A9BFB88">
      <w:pPr>
        <w:keepNext w:val="0"/>
        <w:keepLines w:val="0"/>
        <w:pageBreakBefore w:val="0"/>
        <w:widowControl w:val="0"/>
        <w:kinsoku/>
        <w:wordWrap/>
        <w:overflowPunct/>
        <w:topLinePunct w:val="0"/>
        <w:autoSpaceDE/>
        <w:autoSpaceDN/>
        <w:bidi w:val="0"/>
        <w:adjustRightInd/>
        <w:snapToGrid/>
        <w:spacing w:line="300" w:lineRule="auto"/>
        <w:ind w:left="0" w:firstLine="0"/>
        <w:jc w:val="both"/>
        <w:textAlignment w:val="auto"/>
        <w:rPr>
          <w:rFonts w:ascii="Times New Roman" w:hAnsi="Times New Roman"/>
          <w:sz w:val="24"/>
          <w:szCs w:val="24"/>
        </w:rPr>
      </w:pPr>
      <w:r>
        <w:rPr>
          <w:rFonts w:hint="eastAsia" w:ascii="Times New Roman" w:hAnsi="Times New Roman"/>
          <w:sz w:val="24"/>
          <w:szCs w:val="24"/>
        </w:rPr>
        <w:t>（1）食品安全组学研究</w:t>
      </w:r>
    </w:p>
    <w:p w14:paraId="1858FDCC">
      <w:pPr>
        <w:pStyle w:val="6"/>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firstLineChars="0"/>
        <w:jc w:val="both"/>
        <w:textAlignment w:val="auto"/>
        <w:rPr>
          <w:rFonts w:ascii="Times New Roman" w:hAnsi="Times New Roman"/>
          <w:sz w:val="24"/>
          <w:szCs w:val="24"/>
        </w:rPr>
      </w:pPr>
      <w:r>
        <w:rPr>
          <w:rFonts w:hint="eastAsia"/>
          <w:sz w:val="24"/>
          <w:szCs w:val="24"/>
        </w:rPr>
        <w:t>了解</w:t>
      </w:r>
      <w:r>
        <w:rPr>
          <w:rFonts w:hint="eastAsia" w:ascii="Times New Roman" w:hAnsi="Times New Roman"/>
          <w:sz w:val="24"/>
          <w:szCs w:val="24"/>
        </w:rPr>
        <w:t>组学和食品组学的定义；</w:t>
      </w:r>
    </w:p>
    <w:p w14:paraId="779961BC">
      <w:pPr>
        <w:pStyle w:val="6"/>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firstLineChars="0"/>
        <w:jc w:val="both"/>
        <w:textAlignment w:val="auto"/>
        <w:rPr>
          <w:rFonts w:ascii="Times New Roman" w:hAnsi="Times New Roman"/>
          <w:sz w:val="24"/>
          <w:szCs w:val="24"/>
        </w:rPr>
      </w:pPr>
      <w:r>
        <w:rPr>
          <w:rFonts w:hint="eastAsia"/>
          <w:sz w:val="24"/>
          <w:szCs w:val="24"/>
        </w:rPr>
        <w:t>了解</w:t>
      </w:r>
      <w:r>
        <w:rPr>
          <w:rFonts w:hint="eastAsia" w:ascii="Times New Roman" w:hAnsi="Times New Roman"/>
          <w:sz w:val="24"/>
          <w:szCs w:val="24"/>
        </w:rPr>
        <w:t>食品组学的工具；</w:t>
      </w:r>
    </w:p>
    <w:p w14:paraId="2A92E0E0">
      <w:pPr>
        <w:pStyle w:val="6"/>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firstLineChars="0"/>
        <w:jc w:val="both"/>
        <w:textAlignment w:val="auto"/>
        <w:rPr>
          <w:rFonts w:ascii="Times New Roman" w:hAnsi="Times New Roman"/>
          <w:sz w:val="24"/>
          <w:szCs w:val="24"/>
        </w:rPr>
      </w:pPr>
      <w:r>
        <w:rPr>
          <w:rFonts w:ascii="Times New Roman" w:hAnsi="Times New Roman"/>
          <w:sz w:val="24"/>
          <w:szCs w:val="24"/>
        </w:rPr>
        <w:t>掌握</w:t>
      </w:r>
      <w:r>
        <w:rPr>
          <w:rFonts w:hint="eastAsia" w:ascii="Times New Roman" w:hAnsi="Times New Roman"/>
          <w:sz w:val="24"/>
          <w:szCs w:val="24"/>
        </w:rPr>
        <w:t>食品组学在食品安全中的应用；</w:t>
      </w:r>
    </w:p>
    <w:p w14:paraId="1616584A">
      <w:pPr>
        <w:pStyle w:val="6"/>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firstLineChars="0"/>
        <w:jc w:val="both"/>
        <w:textAlignment w:val="auto"/>
        <w:rPr>
          <w:rFonts w:ascii="Times New Roman" w:hAnsi="Times New Roman"/>
          <w:sz w:val="24"/>
          <w:szCs w:val="24"/>
        </w:rPr>
      </w:pPr>
      <w:r>
        <w:rPr>
          <w:rFonts w:hint="eastAsia"/>
          <w:sz w:val="24"/>
          <w:szCs w:val="24"/>
        </w:rPr>
        <w:t>了解</w:t>
      </w:r>
      <w:r>
        <w:rPr>
          <w:rFonts w:hint="eastAsia" w:ascii="Times New Roman" w:hAnsi="Times New Roman"/>
          <w:sz w:val="24"/>
          <w:szCs w:val="24"/>
        </w:rPr>
        <w:t>食品组学的发展趋势；</w:t>
      </w:r>
    </w:p>
    <w:p w14:paraId="7AFE8BC3">
      <w:pPr>
        <w:keepNext w:val="0"/>
        <w:keepLines w:val="0"/>
        <w:pageBreakBefore w:val="0"/>
        <w:widowControl w:val="0"/>
        <w:kinsoku/>
        <w:wordWrap/>
        <w:overflowPunct/>
        <w:topLinePunct w:val="0"/>
        <w:autoSpaceDE/>
        <w:autoSpaceDN/>
        <w:bidi w:val="0"/>
        <w:adjustRightInd/>
        <w:snapToGrid/>
        <w:spacing w:line="300" w:lineRule="auto"/>
        <w:ind w:left="0" w:firstLine="0"/>
        <w:jc w:val="both"/>
        <w:textAlignment w:val="auto"/>
        <w:rPr>
          <w:rFonts w:ascii="Times New Roman" w:hAnsi="Times New Roman"/>
          <w:sz w:val="24"/>
          <w:szCs w:val="24"/>
        </w:rPr>
      </w:pPr>
      <w:r>
        <w:rPr>
          <w:rFonts w:hint="eastAsia" w:ascii="Times New Roman" w:hAnsi="Times New Roman"/>
          <w:sz w:val="24"/>
          <w:szCs w:val="24"/>
        </w:rPr>
        <w:t>（2）大数据分析与食品安全</w:t>
      </w:r>
    </w:p>
    <w:p w14:paraId="3BCA9E9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jc w:val="both"/>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大数据的定义和特点；</w:t>
      </w:r>
    </w:p>
    <w:p w14:paraId="3DC864D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jc w:val="both"/>
        <w:textAlignment w:val="auto"/>
        <w:rPr>
          <w:rFonts w:ascii="Times New Roman" w:hAnsi="Times New Roman"/>
          <w:sz w:val="24"/>
          <w:szCs w:val="24"/>
        </w:rPr>
      </w:pPr>
      <w:r>
        <w:rPr>
          <w:rFonts w:ascii="Times New Roman" w:hAnsi="Times New Roman"/>
          <w:sz w:val="24"/>
          <w:szCs w:val="24"/>
        </w:rPr>
        <w:t>掌握</w:t>
      </w:r>
      <w:r>
        <w:rPr>
          <w:rFonts w:hint="eastAsia"/>
          <w:sz w:val="24"/>
          <w:szCs w:val="24"/>
        </w:rPr>
        <w:t>大数据在食品安全领域的应用；</w:t>
      </w:r>
    </w:p>
    <w:p w14:paraId="2B62ED3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jc w:val="both"/>
        <w:textAlignment w:val="auto"/>
        <w:rPr>
          <w:rFonts w:ascii="Times New Roman" w:hAnsi="Times New Roman"/>
          <w:sz w:val="24"/>
          <w:szCs w:val="24"/>
        </w:rPr>
      </w:pPr>
      <w:r>
        <w:rPr>
          <w:rFonts w:ascii="Times New Roman" w:hAnsi="Times New Roman"/>
          <w:sz w:val="24"/>
          <w:szCs w:val="24"/>
        </w:rPr>
        <w:t>掌握</w:t>
      </w:r>
      <w:r>
        <w:rPr>
          <w:rFonts w:hint="eastAsia" w:ascii="Times New Roman" w:hAnsi="Times New Roman"/>
          <w:sz w:val="24"/>
          <w:szCs w:val="24"/>
        </w:rPr>
        <w:t>大数据在营养与健康领域的应用；</w:t>
      </w:r>
    </w:p>
    <w:p w14:paraId="18D016AC">
      <w:pPr>
        <w:keepNext w:val="0"/>
        <w:keepLines w:val="0"/>
        <w:pageBreakBefore w:val="0"/>
        <w:widowControl w:val="0"/>
        <w:kinsoku/>
        <w:wordWrap/>
        <w:overflowPunct/>
        <w:topLinePunct w:val="0"/>
        <w:autoSpaceDE/>
        <w:autoSpaceDN/>
        <w:bidi w:val="0"/>
        <w:adjustRightInd/>
        <w:snapToGrid/>
        <w:spacing w:line="300" w:lineRule="auto"/>
        <w:ind w:left="0" w:firstLine="0"/>
        <w:jc w:val="both"/>
        <w:textAlignment w:val="auto"/>
        <w:rPr>
          <w:rFonts w:ascii="Times New Roman" w:hAnsi="Times New Roman"/>
          <w:sz w:val="24"/>
          <w:szCs w:val="24"/>
        </w:rPr>
      </w:pPr>
      <w:r>
        <w:rPr>
          <w:rFonts w:hint="eastAsia" w:ascii="Times New Roman" w:hAnsi="Times New Roman"/>
          <w:sz w:val="24"/>
          <w:szCs w:val="24"/>
        </w:rPr>
        <w:t>（3）食品安全新兴技术</w:t>
      </w:r>
    </w:p>
    <w:p w14:paraId="7A64962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hanging="420"/>
        <w:jc w:val="both"/>
        <w:textAlignment w:val="auto"/>
        <w:rPr>
          <w:rFonts w:ascii="Times New Roman" w:hAnsi="Times New Roman"/>
          <w:sz w:val="24"/>
          <w:szCs w:val="24"/>
        </w:rPr>
      </w:pPr>
      <w:r>
        <w:rPr>
          <w:rFonts w:ascii="Times New Roman" w:hAnsi="Times New Roman"/>
          <w:sz w:val="24"/>
          <w:szCs w:val="24"/>
        </w:rPr>
        <w:t>了解</w:t>
      </w:r>
      <w:r>
        <w:rPr>
          <w:rFonts w:hint="eastAsia" w:ascii="Times New Roman" w:hAnsi="Times New Roman"/>
          <w:sz w:val="24"/>
          <w:szCs w:val="24"/>
        </w:rPr>
        <w:t>成像技术、质谱技术、分子生物学技术在食品安全科学中的应用；</w:t>
      </w:r>
    </w:p>
    <w:p w14:paraId="4E3244E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eastAsia" w:ascii="Times New Roman" w:hAnsi="Times New Roman" w:eastAsia="宋体" w:cs="Times New Roman"/>
          <w:color w:val="auto"/>
          <w:kern w:val="2"/>
          <w:sz w:val="24"/>
          <w:szCs w:val="24"/>
          <w:highlight w:val="none"/>
          <w:lang w:val="en-US" w:eastAsia="zh-CN" w:bidi="ar-SA"/>
        </w:rPr>
      </w:pPr>
      <w:r>
        <w:rPr>
          <w:rFonts w:ascii="Times New Roman" w:hAnsi="Times New Roman"/>
          <w:sz w:val="24"/>
          <w:szCs w:val="24"/>
        </w:rPr>
        <w:t>了解</w:t>
      </w:r>
      <w:r>
        <w:rPr>
          <w:rFonts w:hint="eastAsia" w:ascii="Times New Roman" w:hAnsi="Times New Roman"/>
          <w:sz w:val="24"/>
          <w:szCs w:val="24"/>
        </w:rPr>
        <w:t>免疫技术、同位素示踪技术、生物传感器在食品安全研究中的应用。</w:t>
      </w:r>
    </w:p>
    <w:p w14:paraId="08942A5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E3131"/>
    <w:multiLevelType w:val="singleLevel"/>
    <w:tmpl w:val="9A4E3131"/>
    <w:lvl w:ilvl="0" w:tentative="0">
      <w:start w:val="1"/>
      <w:numFmt w:val="bullet"/>
      <w:lvlText w:val=""/>
      <w:lvlJc w:val="left"/>
      <w:pPr>
        <w:ind w:left="420" w:hanging="420"/>
      </w:pPr>
      <w:rPr>
        <w:rFonts w:hint="default" w:ascii="Wingdings" w:hAnsi="Wingdings"/>
      </w:rPr>
    </w:lvl>
  </w:abstractNum>
  <w:abstractNum w:abstractNumId="1">
    <w:nsid w:val="BEA52D69"/>
    <w:multiLevelType w:val="singleLevel"/>
    <w:tmpl w:val="BEA52D69"/>
    <w:lvl w:ilvl="0" w:tentative="0">
      <w:start w:val="1"/>
      <w:numFmt w:val="bullet"/>
      <w:lvlText w:val=""/>
      <w:lvlJc w:val="left"/>
      <w:pPr>
        <w:ind w:left="420" w:hanging="420"/>
      </w:pPr>
      <w:rPr>
        <w:rFonts w:hint="default" w:ascii="Wingdings" w:hAnsi="Wingdings"/>
      </w:rPr>
    </w:lvl>
  </w:abstractNum>
  <w:abstractNum w:abstractNumId="2">
    <w:nsid w:val="EF9DCA5C"/>
    <w:multiLevelType w:val="singleLevel"/>
    <w:tmpl w:val="EF9DCA5C"/>
    <w:lvl w:ilvl="0" w:tentative="0">
      <w:start w:val="1"/>
      <w:numFmt w:val="bullet"/>
      <w:lvlText w:val=""/>
      <w:lvlJc w:val="left"/>
      <w:pPr>
        <w:ind w:left="420" w:hanging="420"/>
      </w:pPr>
      <w:rPr>
        <w:rFonts w:hint="default" w:ascii="Wingdings" w:hAnsi="Wingdings"/>
      </w:rPr>
    </w:lvl>
  </w:abstractNum>
  <w:abstractNum w:abstractNumId="3">
    <w:nsid w:val="12FBF981"/>
    <w:multiLevelType w:val="singleLevel"/>
    <w:tmpl w:val="12FBF981"/>
    <w:lvl w:ilvl="0" w:tentative="0">
      <w:start w:val="1"/>
      <w:numFmt w:val="bullet"/>
      <w:lvlText w:val=""/>
      <w:lvlJc w:val="left"/>
      <w:pPr>
        <w:ind w:left="420" w:hanging="420"/>
      </w:pPr>
      <w:rPr>
        <w:rFonts w:hint="default" w:ascii="Wingdings" w:hAnsi="Wingdings"/>
      </w:rPr>
    </w:lvl>
  </w:abstractNum>
  <w:abstractNum w:abstractNumId="4">
    <w:nsid w:val="2E6E7D12"/>
    <w:multiLevelType w:val="multilevel"/>
    <w:tmpl w:val="2E6E7D1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79D21C1"/>
    <w:multiLevelType w:val="singleLevel"/>
    <w:tmpl w:val="779D21C1"/>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yZjdhMzI5OTVmYjlkYWY4YjFiZWJlMGJlZWZlNTQifQ=="/>
  </w:docVars>
  <w:rsids>
    <w:rsidRoot w:val="00000000"/>
    <w:rsid w:val="04E2157A"/>
    <w:rsid w:val="1866258B"/>
    <w:rsid w:val="2BA37966"/>
    <w:rsid w:val="2C924726"/>
    <w:rsid w:val="35913CC4"/>
    <w:rsid w:val="52AB4331"/>
    <w:rsid w:val="56252405"/>
    <w:rsid w:val="63204A29"/>
    <w:rsid w:val="6A7C19FC"/>
    <w:rsid w:val="6E9A2CBF"/>
    <w:rsid w:val="73F40884"/>
    <w:rsid w:val="77562318"/>
    <w:rsid w:val="7AF27477"/>
    <w:rsid w:val="7E883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标记"/>
    <w:basedOn w:val="1"/>
    <w:link w:val="5"/>
    <w:qFormat/>
    <w:uiPriority w:val="0"/>
    <w:pPr>
      <w:tabs>
        <w:tab w:val="left" w:pos="312"/>
      </w:tabs>
      <w:ind w:firstLine="0" w:firstLineChars="0"/>
    </w:pPr>
    <w:rPr>
      <w:rFonts w:hint="eastAsia" w:ascii="Arial" w:hAnsi="Arial" w:eastAsia="楷体" w:cs="Arial"/>
      <w:color w:val="7030A0"/>
      <w:u w:val="wavyDouble" w:color="00B0F0"/>
    </w:rPr>
  </w:style>
  <w:style w:type="character" w:customStyle="1" w:styleId="5">
    <w:name w:val="标记 Char"/>
    <w:link w:val="4"/>
    <w:qFormat/>
    <w:uiPriority w:val="0"/>
    <w:rPr>
      <w:rFonts w:hint="eastAsia" w:ascii="Arial" w:hAnsi="Arial" w:eastAsia="楷体" w:cs="Arial"/>
      <w:color w:val="7030A0"/>
      <w:u w:val="wavyDouble" w:color="00B0F0"/>
    </w:rPr>
  </w:style>
  <w:style w:type="paragraph" w:styleId="6">
    <w:name w:val="List Paragraph"/>
    <w:basedOn w:val="1"/>
    <w:qFormat/>
    <w:uiPriority w:val="0"/>
    <w:pPr>
      <w:widowControl w:val="0"/>
      <w:ind w:firstLine="420" w:firstLineChars="200"/>
      <w:jc w:val="both"/>
    </w:pPr>
    <w:rPr>
      <w:rFonts w:ascii="宋体" w:hAnsi="宋体"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3748</Words>
  <Characters>3786</Characters>
  <Lines>0</Lines>
  <Paragraphs>0</Paragraphs>
  <TotalTime>0</TotalTime>
  <ScaleCrop>false</ScaleCrop>
  <LinksUpToDate>false</LinksUpToDate>
  <CharactersWithSpaces>3786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2022-04-28T03:16:00Z</dcterms:created>
  <dc:creator>xps</dc:creator>
  <cp:lastModifiedBy>刘晓娜</cp:lastModifiedBy>
  <dcterms:modified xsi:type="dcterms:W3CDTF">2025-12-29T12:57:00Z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C2D69E2EBB0049E5B78509426AFBACE0_13</vt:lpwstr>
  </property>
  <property fmtid="{D5CDD505-2E9C-101B-9397-08002B2CF9AE}" pid="4" name="KSOTemplateDocerSaveRecord">
    <vt:lpwstr>eyJoZGlkIjoiMDY0YjgxMjAxNzQ3NWU4NmU2MThhN2ZmMjRhMWRjYWIiLCJ1c2VySWQiOiIxNzI4Mzc2MTk2In0=</vt:lpwstr>
  </property>
</Properties>
</file>