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0"/>
          <w:szCs w:val="20"/>
        </w:rPr>
        <w:t xml:space="preserve">Ідентифікаційний номер фізичної особи-підприємця – платника податків</w:t>
      </w:r>
    </w:p>
    <w:p/>
    <w:p>
      <w:pPr>
        <w:jc w:val="center"/>
      </w:pPr>
      <w:r>
        <w:rPr>
          <w:sz w:val="20"/>
          <w:szCs w:val="20"/>
          <w:b w:val="1"/>
          <w:bCs w:val="1"/>
        </w:rPr>
        <w:t xml:space="preserve">Державне статистичне спостереження</w:t>
      </w:r>
    </w:p>
    <w:p>
      <w:pPr>
        <w:jc w:val="center"/>
      </w:pPr>
      <w:r>
        <w:rPr>
          <w:sz w:val="18"/>
          <w:szCs w:val="18"/>
          <w:b w:val="1"/>
          <w:bCs w:val="1"/>
        </w:rPr>
        <w:t xml:space="preserve">Конфіденційність статистичної інформації забезпечується статтею 21 Закону України "Про державну статистику"</w:t>
      </w:r>
    </w:p>
    <w:p>
      <w:pPr>
        <w:jc w:val="center"/>
      </w:pPr>
      <w:r>
        <w:rPr>
          <w:sz w:val="18"/>
          <w:szCs w:val="18"/>
          <w:b w:val="1"/>
          <w:bCs w:val="1"/>
        </w:rPr>
        <w:t xml:space="preserve">Порушення порядку подання або використання даних державних статистичних спостережень тягне за собою відповідальність, яка встановлена статтею 186³ Кодексу України про адміністративні правопорушення</w:t>
      </w:r>
    </w:p>
    <w:p>
      <w:pPr>
        <w:jc w:val="center"/>
      </w:pPr>
      <w:r>
        <w:rPr>
          <w:sz w:val="26"/>
          <w:szCs w:val="26"/>
          <w:b w:val="1"/>
          <w:bCs w:val="1"/>
        </w:rPr>
        <w:t xml:space="preserve">Порушення порядку подання або використання даних державних статистичних спостережень тягне за собою відповідальність, яка встановлена статтею 186³ Кодексу України про адміністративні правопорушення</w:t>
      </w:r>
    </w:p>
    <w:p>
      <w:pPr/>
      <w:r>
        <w:rPr/>
        <w:t xml:space="preserve">Bowers</w:t>
      </w:r>
    </w:p>
    <w:p>
      <w:pPr/>
      <w:r>
        <w:rPr/>
        <w:t xml:space="preserve">1212</w:t>
      </w:r>
    </w:p>
    <w:p>
      <w:pPr/>
      <w:r>
        <w:rPr/>
        <w:t xml:space="preserve">(+380)19-672-08-50</w:t>
      </w:r>
    </w:p>
    <w:p>
      <w:pPr/>
      <w:r>
        <w:rPr/>
        <w:t xml:space="preserve">Dean</w:t>
      </w:r>
    </w:p>
    <w:p>
      <w:pPr/>
      <w:r>
        <w:rPr/>
        <w:t xml:space="preserve">1111</w:t>
      </w:r>
    </w:p>
    <w:p>
      <w:pPr/>
      <w:r>
        <w:rPr/>
        <w:t xml:space="preserve">(+380)13-811-85-61</w:t>
      </w:r>
    </w:p>
    <w:p>
      <w:pPr/>
      <w:r>
        <w:rPr/>
        <w:t xml:space="preserve">Petersen</w:t>
      </w:r>
    </w:p>
    <w:p>
      <w:pPr/>
      <w:r>
        <w:rPr/>
        <w:t xml:space="preserve">4532</w:t>
      </w:r>
    </w:p>
    <w:p>
      <w:pPr/>
      <w:r>
        <w:rPr/>
        <w:t xml:space="preserve">(+380)18-211-51-67</w:t>
      </w:r>
    </w:p>
    <w:p>
      <w:pPr/>
      <w:r>
        <w:rPr/>
        <w:t xml:space="preserve">Dotson</w:t>
      </w:r>
    </w:p>
    <w:p>
      <w:pPr/>
      <w:r>
        <w:rPr/>
        <w:t xml:space="preserve">5555</w:t>
      </w:r>
    </w:p>
    <w:p>
      <w:pPr/>
      <w:r>
        <w:rPr/>
        <w:t xml:space="preserve">(+380)19-327-52-24</w:t>
      </w:r>
    </w:p>
    <w:sectPr>
      <w:pgSz w:orient="portrait" w:w="11905.511811023622" w:h="16837.79527559055"/>
      <w:pgMar w:top="850.4" w:right="566.9" w:bottom="850.4" w:left="1133.86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Введенский Игорь Владимирович</dc:creator>
  <dc:title/>
  <dc:description/>
  <dc:subject>Report</dc:subject>
  <cp:keywords/>
  <cp:category/>
  <cp:lastModifiedBy>Введенский Игорь Владимирович</cp:lastModifiedBy>
  <dcterms:created xsi:type="dcterms:W3CDTF">183344-04-25T10:44:58+00:00</dcterms:created>
  <dcterms:modified xsi:type="dcterms:W3CDTF">183344-04-25T10:44:58+00:00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