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392B" w:val="clear"/>
            <w:tcMar>
              <w:top w:type="dxa" w:w="300"/>
              <w:left w:type="dxa" w:w="300"/>
              <w:bottom w:type="dxa" w:w="300"/>
              <w:right w:type="dxa" w:w="300"/>
            </w:tcMar>
          </w:tcPr>
          <w:p>
            <w:pPr>
              <w:spacing w:after="100" w:before="200"/>
              <w:jc w:val="center"/>
            </w:pPr>
            <w:r>
              <w:rPr>
                <w:rFonts w:ascii="Arial" w:cs="Arial" w:eastAsia="Arial" w:hAnsi="Arial"/>
                <w:color w:val="CCCCCC"/>
                <w:sz w:val="24"/>
                <w:szCs w:val="24"/>
              </w:rPr>
              <w:t xml:space="preserve">AlumNet Platform</w:t>
            </w:r>
          </w:p>
          <w:p>
            <w:pPr>
              <w:spacing w:after="200" w:before="100"/>
              <w:jc w:val="center"/>
            </w:pPr>
            <w:r>
              <w:rPr>
                <w:rFonts w:ascii="Arial" w:cs="Arial" w:eastAsia="Arial" w:hAnsi="Arial"/>
                <w:b/>
                <w:bCs/>
                <w:color w:val="FFFFFF"/>
                <w:sz w:val="52"/>
                <w:szCs w:val="52"/>
              </w:rPr>
              <w:t xml:space="preserve">Injection Attack Report</w:t>
            </w:r>
          </w:p>
          <w:p>
            <w:pPr>
              <w:spacing w:after="80" w:before="80"/>
              <w:jc w:val="center"/>
            </w:pPr>
            <w:r>
              <w:rPr>
                <w:rFonts w:ascii="Arial" w:cs="Arial" w:eastAsia="Arial" w:hAnsi="Arial"/>
                <w:i/>
                <w:iCs/>
                <w:color w:val="DDDDDD"/>
                <w:sz w:val="26"/>
                <w:szCs w:val="26"/>
              </w:rPr>
              <w:t xml:space="preserve">SQL, Command, LDAP &amp; XML Injection — Vulnerability Analysis</w:t>
            </w:r>
          </w:p>
          <w:p>
            <w:pPr>
              <w:spacing w:after="60" w:before="200"/>
              <w:jc w:val="center"/>
            </w:pPr>
            <w:r>
              <w:rPr>
                <w:rFonts w:ascii="Arial" w:cs="Arial" w:eastAsia="Arial" w:hAnsi="Arial"/>
                <w:color w:val="FFFFFF"/>
                <w:sz w:val="20"/>
                <w:szCs w:val="20"/>
              </w:rPr>
              <w:t xml:space="preserve">Date: May 2026   |   Classification: CONFIDENTIAL</w:t>
            </w:r>
          </w:p>
          <w:p>
            <w:pPr>
              <w:spacing w:after="200" w:before="40"/>
              <w:jc w:val="center"/>
            </w:pPr>
            <w:r>
              <w:rPr>
                <w:rFonts w:ascii="Arial" w:cs="Arial" w:eastAsia="Arial" w:hAnsi="Arial"/>
                <w:color w:val="AAAAAA"/>
                <w:sz w:val="20"/>
                <w:szCs w:val="20"/>
              </w:rPr>
              <w:t xml:space="preserve">Version 1.0   |   Static Code Analysis</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1. Executive Summary</w:t>
      </w:r>
    </w:p>
    <w:p>
      <w:pPr>
        <w:spacing w:after="60" w:before="60"/>
        <w:jc w:val="left"/>
      </w:pPr>
      <w:r>
        <w:rPr>
          <w:rFonts w:ascii="Arial" w:cs="Arial" w:eastAsia="Arial" w:hAnsi="Arial"/>
          <w:b w:val="false"/>
          <w:bCs w:val="false"/>
          <w:i w:val="false"/>
          <w:iCs w:val="false"/>
          <w:color w:val="1A1A2E"/>
          <w:sz w:val="20"/>
          <w:szCs w:val="20"/>
        </w:rPr>
        <w:t xml:space="preserve">This report covers all injection attack vectors assessed against the AlumNet platform. Injection flaws occur when untrusted data is sent to an interpreter — such as a SQL database, OS shell, or XML parser — as part of a command or query. They are consistently ranked as the most critical class of web application vulnerability by OWASP.</w:t>
      </w:r>
    </w:p>
    <w:p>
      <w:pPr>
        <w:spacing w:after="60" w:before="60"/>
        <w:jc w:val="left"/>
      </w:pPr>
      <w:r>
        <w:rPr>
          <w:rFonts w:ascii="Arial" w:cs="Arial" w:eastAsia="Arial" w:hAnsi="Arial"/>
          <w:b w:val="false"/>
          <w:bCs w:val="false"/>
          <w:i w:val="false"/>
          <w:iCs w:val="false"/>
          <w:color w:val="1A1A2E"/>
          <w:sz w:val="20"/>
          <w:szCs w:val="20"/>
        </w:rPr>
        <w:t xml:space="preserve"/>
      </w:r>
    </w:p>
    <w:p>
      <w:pPr>
        <w:spacing w:after="60" w:before="60"/>
        <w:jc w:val="left"/>
      </w:pPr>
      <w:r>
        <w:rPr>
          <w:rFonts w:ascii="Arial" w:cs="Arial" w:eastAsia="Arial" w:hAnsi="Arial"/>
          <w:b w:val="false"/>
          <w:bCs w:val="false"/>
          <w:i w:val="false"/>
          <w:iCs w:val="false"/>
          <w:color w:val="1A1A2E"/>
          <w:sz w:val="20"/>
          <w:szCs w:val="20"/>
        </w:rPr>
        <w:t xml:space="preserve">The AlumNet platform achieves a strong injection security posture by exclusively using SQLAlchemy ORM for all database interactions, avoiding subprocess and OS shell calls entirely, and having no LDAP or XML integrations in scope. No exploitable injection vulnerabilities were identified. This report documents the assessment methodology, controls reviewed, and best-practice recommendations to maintain this posture.</w:t>
      </w: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2. Injection Attack Coverage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600"/>
        <w:gridCol w:w="2060"/>
      </w:tblGrid>
      <w:tr>
        <w:tc>
          <w:tcPr>
            <w:tcW w:type="dxa" w:w="2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Attack Type</w:t>
            </w:r>
          </w:p>
        </w:tc>
        <w:tc>
          <w:tcPr>
            <w:tcW w:type="dxa" w:w="35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Assessment Finding</w:t>
            </w:r>
          </w:p>
        </w:tc>
        <w:tc>
          <w:tcPr>
            <w:tcW w:type="dxa" w:w="1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Status</w:t>
            </w:r>
          </w:p>
        </w:tc>
        <w:tc>
          <w:tcPr>
            <w:tcW w:type="dxa" w:w="20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SQL Injection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SQLAlchemy ORM used exclusively; no raw SQL</w:t>
            </w:r>
          </w:p>
        </w:tc>
        <w:tc>
          <w:tcPr>
            <w:tcW w:type="dxa" w:w="16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NOT VULNERABLE</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ORM queries verified</w:t>
            </w:r>
          </w:p>
        </w:tc>
      </w:tr>
      <w:tr>
        <w:tc>
          <w:tcPr>
            <w:tcW w:type="dxa" w:w="22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Command Injection</w:t>
            </w:r>
          </w:p>
        </w:tc>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subprocess, os.system() or shell=True calls</w:t>
            </w:r>
          </w:p>
        </w:tc>
        <w:tc>
          <w:tcPr>
            <w:tcW w:type="dxa" w:w="16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NOT VULNERABLE</w:t>
            </w:r>
          </w:p>
        </w:tc>
        <w:tc>
          <w:tcPr>
            <w:tcW w:type="dxa" w:w="20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Full codebase scan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LDAP Injection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LDAP authentication or directory queries</w:t>
            </w:r>
          </w:p>
        </w:tc>
        <w:tc>
          <w:tcPr>
            <w:tcW w:type="dxa" w:w="16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NOT IN SCOPE</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Architecture review</w:t>
            </w:r>
          </w:p>
        </w:tc>
      </w:tr>
      <w:tr>
        <w:tc>
          <w:tcPr>
            <w:tcW w:type="dxa" w:w="22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XML Injection</w:t>
            </w:r>
          </w:p>
        </w:tc>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XML parsing or XML-based APIs present</w:t>
            </w:r>
          </w:p>
        </w:tc>
        <w:tc>
          <w:tcPr>
            <w:tcW w:type="dxa" w:w="16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NOT IN SCOPE</w:t>
            </w:r>
          </w:p>
        </w:tc>
        <w:tc>
          <w:tcPr>
            <w:tcW w:type="dxa" w:w="20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Architecture review</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Template Injection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render_template_string() or user-controlled templates</w:t>
            </w:r>
          </w:p>
        </w:tc>
        <w:tc>
          <w:tcPr>
            <w:tcW w:type="dxa" w:w="16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NOT VULNERABLE</w:t>
            </w:r>
          </w:p>
        </w:tc>
        <w:tc>
          <w:tcPr>
            <w:tcW w:type="dxa" w:w="2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Route audit complete</w:t>
            </w:r>
          </w:p>
        </w:tc>
      </w:tr>
      <w:tr>
        <w:tc>
          <w:tcPr>
            <w:tcW w:type="dxa" w:w="22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Header Injection</w:t>
            </w:r>
          </w:p>
        </w:tc>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redirect() calls with user-controlled URLs</w:t>
            </w:r>
          </w:p>
        </w:tc>
        <w:tc>
          <w:tcPr>
            <w:tcW w:type="dxa" w:w="16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NOT VULNERABLE</w:t>
            </w:r>
          </w:p>
        </w:tc>
        <w:tc>
          <w:tcPr>
            <w:tcW w:type="dxa" w:w="20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Redirect audit</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3. Detailed Assessment — SQL Injection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I-01  </w:t>
            </w:r>
            <w:r>
              <w:rPr>
                <w:rFonts w:ascii="Arial" w:cs="Arial" w:eastAsia="Arial" w:hAnsi="Arial"/>
                <w:b/>
                <w:bCs/>
                <w:color w:val="1A1A2E"/>
                <w:sz w:val="22"/>
                <w:szCs w:val="22"/>
              </w:rPr>
              <w:t xml:space="preserve">SQL Injection Assessment — ORM Architecture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SQL injection occurs when user-supplied data is incorporated into SQL queries without proper parameterisation. The AlumNet platform uses SQLAlchemy ORM exclusively for all database operations. The assessment reviewed all data access patterns across app.py, routes/admin.py, routes/alumni.py, routes/student.py, services/file_upload.py, and all model files. No use of db.session.execute(text()), db.engine.execute(), or string-formatted SQL was found.</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CORRECT — SQLAlchemy ORM (parameterised, injection-safe):</w:t>
      </w:r>
    </w:p>
    <w:p>
      <w:pPr>
        <w:shd w:fill="F4F6F7" w:val="clear"/>
        <w:spacing w:after="30" w:before="30"/>
      </w:pPr>
      <w:r>
        <w:rPr>
          <w:rFonts w:ascii="Courier New" w:cs="Courier New" w:eastAsia="Courier New" w:hAnsi="Courier New"/>
          <w:color w:val="C0392B"/>
          <w:sz w:val="18"/>
          <w:szCs w:val="18"/>
        </w:rPr>
        <w:t xml:space="preserve">user = User.query.filter_by(email=email).first()</w:t>
      </w:r>
    </w:p>
    <w:p>
      <w:pPr>
        <w:shd w:fill="F4F6F7" w:val="clear"/>
        <w:spacing w:after="30" w:before="30"/>
      </w:pPr>
      <w:r>
        <w:rPr>
          <w:rFonts w:ascii="Courier New" w:cs="Courier New" w:eastAsia="Courier New" w:hAnsi="Courier New"/>
          <w:color w:val="C0392B"/>
          <w:sz w:val="18"/>
          <w:szCs w:val="18"/>
        </w:rPr>
        <w:t xml:space="preserve"># FORBIDDEN — never do this:</w:t>
      </w:r>
    </w:p>
    <w:p>
      <w:pPr>
        <w:shd w:fill="F4F6F7" w:val="clear"/>
        <w:spacing w:after="30" w:before="30"/>
      </w:pPr>
      <w:r>
        <w:rPr>
          <w:rFonts w:ascii="Courier New" w:cs="Courier New" w:eastAsia="Courier New" w:hAnsi="Courier New"/>
          <w:color w:val="C0392B"/>
          <w:sz w:val="18"/>
          <w:szCs w:val="18"/>
        </w:rPr>
        <w:t xml:space="preserve">db.session.execute(f'SELECT * FROM user WHERE email = "{email}"')</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No SQL injection vulnerabilities were identified. The ORM approach inherently parameterises all queries, preventing injection. This is a significant security strength of the platform architecture.</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Maintain the ORM-only policy as a standing development rule. Add a static analysis check (e.g., bandit -t B608) to CI/CD pipelines to detect any future introduction of raw SQL queries. Document this as a security policy in the developer guide: 'All database queries MUST use SQLAlchemy ORM. db.session.execute(text()) is forbidden without security review.'</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4. Detailed Assessment — Command Injection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I-02  </w:t>
            </w:r>
            <w:r>
              <w:rPr>
                <w:rFonts w:ascii="Arial" w:cs="Arial" w:eastAsia="Arial" w:hAnsi="Arial"/>
                <w:b/>
                <w:bCs/>
                <w:color w:val="1A1A2E"/>
                <w:sz w:val="22"/>
                <w:szCs w:val="22"/>
              </w:rPr>
              <w:t xml:space="preserve">Command Injection Assessment — No Shell Execution</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Command injection vulnerabilities arise when user-controlled data reaches OS command execution functions such as subprocess.run(), os.system(), or os.popen() with shell=True. A full grep-based scan of the AlumNet codebase was performed searching for subprocess, os.system, os.popen, os.exec, eval(), and exec() calls. None were found in any application file.</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FORBIDDEN — never use shell=True with user input:</w:t>
      </w:r>
    </w:p>
    <w:p>
      <w:pPr>
        <w:shd w:fill="F4F6F7" w:val="clear"/>
        <w:spacing w:after="30" w:before="30"/>
      </w:pPr>
      <w:r>
        <w:rPr>
          <w:rFonts w:ascii="Courier New" w:cs="Courier New" w:eastAsia="Courier New" w:hAnsi="Courier New"/>
          <w:color w:val="C0392B"/>
          <w:sz w:val="18"/>
          <w:szCs w:val="18"/>
        </w:rPr>
        <w:t xml:space="preserve">subprocess.run(f'convert {user_filename}', shell=True)  # DANGEROUS</w:t>
      </w:r>
    </w:p>
    <w:p>
      <w:pPr>
        <w:shd w:fill="F4F6F7" w:val="clear"/>
        <w:spacing w:after="30" w:before="30"/>
      </w:pPr>
      <w:r>
        <w:rPr>
          <w:rFonts w:ascii="Courier New" w:cs="Courier New" w:eastAsia="Courier New" w:hAnsi="Courier New"/>
          <w:color w:val="C0392B"/>
          <w:sz w:val="18"/>
          <w:szCs w:val="18"/>
        </w:rPr>
        <w:t xml:space="preserve"># SAFE — if subprocess ever becomes necessary:</w:t>
      </w:r>
    </w:p>
    <w:p>
      <w:pPr>
        <w:shd w:fill="F4F6F7" w:val="clear"/>
        <w:spacing w:after="30" w:before="30"/>
      </w:pPr>
      <w:r>
        <w:rPr>
          <w:rFonts w:ascii="Courier New" w:cs="Courier New" w:eastAsia="Courier New" w:hAnsi="Courier New"/>
          <w:color w:val="C0392B"/>
          <w:sz w:val="18"/>
          <w:szCs w:val="18"/>
        </w:rPr>
        <w:t xml:space="preserve">subprocess.run(['convert', sanitised_filename], shell=False, check=True)</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No command injection vulnerabilities exist. The absence of shell execution patterns eliminates this entire attack surface within the current codebase.</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Establish a code review checklist that flags any future introduction of subprocess calls for mandatory security review. If subprocess is ever required (e.g., for image processing), enforce: always use subprocess.run() with a list argument (not shell=True), always validate and whitelist input before passing to subprocess, and never pass raw user input as subprocess arguments.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5. Detailed Assessment — Template Injection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I-03  </w:t>
            </w:r>
            <w:r>
              <w:rPr>
                <w:rFonts w:ascii="Arial" w:cs="Arial" w:eastAsia="Arial" w:hAnsi="Arial"/>
                <w:b/>
                <w:bCs/>
                <w:color w:val="1A1A2E"/>
                <w:sz w:val="22"/>
                <w:szCs w:val="22"/>
              </w:rPr>
              <w:t xml:space="preserve">Server-Side Template Injection — Not Vulnerable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Server-Side Template Injection (SSTI) occurs when user input is embedded directly into template strings that are then rendered by a template engine such as Jinja2. Flask applications using render_template_string() with user-controlled content are particularly vulnerable. The AlumNet codebase uses a JSON API architecture with no server-side HTML rendering of user data. No uses of render_template_string() were found in any route file.</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DANGEROUS — never pass user input to render_template_string:</w:t>
      </w:r>
    </w:p>
    <w:p>
      <w:pPr>
        <w:shd w:fill="F4F6F7" w:val="clear"/>
        <w:spacing w:after="30" w:before="30"/>
      </w:pPr>
      <w:r>
        <w:rPr>
          <w:rFonts w:ascii="Courier New" w:cs="Courier New" w:eastAsia="Courier New" w:hAnsi="Courier New"/>
          <w:color w:val="C0392B"/>
          <w:sz w:val="18"/>
          <w:szCs w:val="18"/>
        </w:rPr>
        <w:t xml:space="preserve">render_template_string(f'Hello {user.name}!')  # SSTI risk</w:t>
      </w:r>
    </w:p>
    <w:p>
      <w:pPr>
        <w:shd w:fill="F4F6F7" w:val="clear"/>
        <w:spacing w:after="30" w:before="30"/>
      </w:pPr>
      <w:r>
        <w:rPr>
          <w:rFonts w:ascii="Courier New" w:cs="Courier New" w:eastAsia="Courier New" w:hAnsi="Courier New"/>
          <w:color w:val="C0392B"/>
          <w:sz w:val="18"/>
          <w:szCs w:val="18"/>
        </w:rPr>
        <w:t xml:space="preserve"># SAFE — static template with context variable:</w:t>
      </w:r>
    </w:p>
    <w:p>
      <w:pPr>
        <w:shd w:fill="F4F6F7" w:val="clear"/>
        <w:spacing w:after="30" w:before="30"/>
      </w:pPr>
      <w:r>
        <w:rPr>
          <w:rFonts w:ascii="Courier New" w:cs="Courier New" w:eastAsia="Courier New" w:hAnsi="Courier New"/>
          <w:color w:val="C0392B"/>
          <w:sz w:val="18"/>
          <w:szCs w:val="18"/>
        </w:rPr>
        <w:t xml:space="preserve">render_template('hello.html', name=user.name)  # Jinja2 escapes automatically</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No SSTI vulnerabilities exist. The JSON API architecture eliminates the primary SSTI attack surface. Jinja2 auto-escaping is active for any templates that are rendered, providing an additional safety layer.</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Never introduce render_template_string() with user-controlled content. If templating is ever required for email generation or server-rendered pages, use render_template() with static template files only, and pass user data as template context variables (Jinja2 escapes these automatically). Ban the pattern {{ user_input | safe }} in all template files.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6. Positive Security Controls — Injection Prevention</w:t>
      </w:r>
    </w:p>
    <w:p>
      <w:pPr>
        <w:spacing w:after="60" w:before="60"/>
        <w:jc w:val="left"/>
      </w:pPr>
      <w:r>
        <w:rPr>
          <w:rFonts w:ascii="Arial" w:cs="Arial" w:eastAsia="Arial" w:hAnsi="Arial"/>
          <w:b w:val="false"/>
          <w:bCs w:val="false"/>
          <w:i w:val="false"/>
          <w:iCs w:val="false"/>
          <w:color w:val="1A1A2E"/>
          <w:sz w:val="20"/>
          <w:szCs w:val="20"/>
        </w:rPr>
        <w:t xml:space="preserve">The following injection prevention controls are confirmed effective and should be preserved:</w:t>
      </w: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w:t>
            </w:r>
          </w:p>
        </w:tc>
        <w:tc>
          <w:tcPr>
            <w:tcW w:type="dxa" w:w="63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 Detail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SQLAlchemy ORM</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All queries parameterised; no raw SQL anywhere in codebase</w:t>
            </w:r>
          </w:p>
        </w:tc>
      </w:tr>
      <w:tr>
        <w:tc>
          <w:tcPr>
            <w:tcW w:type="dxa" w:w="3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No Shell Execution</w:t>
            </w:r>
          </w:p>
        </w:tc>
        <w:tc>
          <w:tcPr>
            <w:tcW w:type="dxa" w:w="63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Zero subprocess, os.system, or eval() calls in application code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Input Sanitisation</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bleach.clean() and length/type validation on all inputs</w:t>
            </w:r>
          </w:p>
        </w:tc>
      </w:tr>
      <w:tr>
        <w:tc>
          <w:tcPr>
            <w:tcW w:type="dxa" w:w="3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JSON API Only</w:t>
            </w:r>
          </w:p>
        </w:tc>
        <w:tc>
          <w:tcPr>
            <w:tcW w:type="dxa" w:w="63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 server-side HTML rendering with user data; eliminates SSTI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Magic-Byte File Check</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File uploads validated by content type, not extension name only</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7. Recommendations to Maintain Injection Resilience</w:t>
      </w:r>
    </w:p>
    <w:p>
      <w:pPr>
        <w:spacing w:after="60" w:before="60"/>
        <w:jc w:val="left"/>
      </w:pPr>
      <w:r>
        <w:rPr>
          <w:rFonts w:ascii="Arial" w:cs="Arial" w:eastAsia="Arial" w:hAnsi="Arial"/>
          <w:b w:val="false"/>
          <w:bCs w:val="false"/>
          <w:i w:val="false"/>
          <w:iCs w:val="false"/>
          <w:color w:val="1A1A2E"/>
          <w:sz w:val="20"/>
          <w:szCs w:val="20"/>
        </w:rPr>
        <w:t xml:space="preserve">Although no injection vulnerabilities were found, the following controls should be implemented to sustain this posture as the codebase evolves:</w:t>
      </w:r>
    </w:p>
    <w:p>
      <w:pPr>
        <w:spacing w:after="60" w:before="60"/>
        <w:jc w:val="left"/>
      </w:pPr>
      <w:r>
        <w:rPr>
          <w:rFonts w:ascii="Arial" w:cs="Arial" w:eastAsia="Arial" w:hAnsi="Arial"/>
          <w:b w:val="false"/>
          <w:bCs w:val="false"/>
          <w:i w:val="false"/>
          <w:iCs w:val="false"/>
          <w:color w:val="1A1A2E"/>
          <w:sz w:val="20"/>
          <w:szCs w:val="20"/>
        </w:rPr>
        <w:t xml:space="preserve"/>
      </w:r>
    </w:p>
    <w:p>
      <w:pPr>
        <w:pStyle w:val="ListParagraph"/>
        <w:numPr>
          <w:ilvl w:val="0"/>
          <w:numId w:val="2"/>
        </w:numPr>
        <w:spacing w:after="40" w:before="40"/>
      </w:pPr>
      <w:r>
        <w:rPr>
          <w:rFonts w:ascii="Arial" w:cs="Arial" w:eastAsia="Arial" w:hAnsi="Arial"/>
          <w:color w:val="1A1A2E"/>
          <w:sz w:val="20"/>
          <w:szCs w:val="20"/>
        </w:rPr>
        <w:t xml:space="preserve">Add bandit (Python SAST) to CI/CD pipeline with B608 (SQL injection), B602 (subprocess shell), and B307 (eval) checks enabled as blocking failures.</w:t>
      </w:r>
    </w:p>
    <w:p>
      <w:pPr>
        <w:pStyle w:val="ListParagraph"/>
        <w:numPr>
          <w:ilvl w:val="0"/>
          <w:numId w:val="2"/>
        </w:numPr>
        <w:spacing w:after="40" w:before="40"/>
      </w:pPr>
      <w:r>
        <w:rPr>
          <w:rFonts w:ascii="Arial" w:cs="Arial" w:eastAsia="Arial" w:hAnsi="Arial"/>
          <w:color w:val="1A1A2E"/>
          <w:sz w:val="20"/>
          <w:szCs w:val="20"/>
        </w:rPr>
        <w:t xml:space="preserve">Document an explicit security policy in the developer onboarding guide prohibiting raw SQL, shell execution, and template string injection patterns.</w:t>
      </w:r>
    </w:p>
    <w:p>
      <w:pPr>
        <w:pStyle w:val="ListParagraph"/>
        <w:numPr>
          <w:ilvl w:val="0"/>
          <w:numId w:val="2"/>
        </w:numPr>
        <w:spacing w:after="40" w:before="40"/>
      </w:pPr>
      <w:r>
        <w:rPr>
          <w:rFonts w:ascii="Arial" w:cs="Arial" w:eastAsia="Arial" w:hAnsi="Arial"/>
          <w:color w:val="1A1A2E"/>
          <w:sz w:val="20"/>
          <w:szCs w:val="20"/>
        </w:rPr>
        <w:t xml:space="preserve">When switching to PostgreSQL for production, test all ORM queries to confirm parameterisation is preserved with the new driver.</w:t>
      </w:r>
    </w:p>
    <w:p>
      <w:pPr>
        <w:pStyle w:val="ListParagraph"/>
        <w:numPr>
          <w:ilvl w:val="0"/>
          <w:numId w:val="2"/>
        </w:numPr>
        <w:spacing w:after="40" w:before="40"/>
      </w:pPr>
      <w:r>
        <w:rPr>
          <w:rFonts w:ascii="Arial" w:cs="Arial" w:eastAsia="Arial" w:hAnsi="Arial"/>
          <w:color w:val="1A1A2E"/>
          <w:sz w:val="20"/>
          <w:szCs w:val="20"/>
        </w:rPr>
        <w:t xml:space="preserve">Conduct a dynamic injection test (DAST) post-deployment using OWASP ZAP or Burp Suite Active Scanner to validate runtime injection resilience.</w:t>
      </w:r>
    </w:p>
    <w:p>
      <w:pPr>
        <w:pStyle w:val="ListParagraph"/>
        <w:numPr>
          <w:ilvl w:val="0"/>
          <w:numId w:val="2"/>
        </w:numPr>
        <w:spacing w:after="40" w:before="40"/>
      </w:pPr>
      <w:r>
        <w:rPr>
          <w:rFonts w:ascii="Arial" w:cs="Arial" w:eastAsia="Arial" w:hAnsi="Arial"/>
          <w:color w:val="1A1A2E"/>
          <w:sz w:val="20"/>
          <w:szCs w:val="20"/>
        </w:rPr>
        <w:t xml:space="preserve">If LDAP authentication is added in future (e.g., for institutional SSO), mandate use of an ldap3 library with parameterised queries and input validation.</w:t>
      </w: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C0392B" w:sz="8" w:space="6"/>
        </w:pBdr>
        <w:spacing w:after="160" w:before="320"/>
      </w:pPr>
      <w:r>
        <w:rPr>
          <w:rFonts w:ascii="Arial" w:cs="Arial" w:eastAsia="Arial" w:hAnsi="Arial"/>
          <w:b/>
          <w:bCs/>
          <w:color w:val="C0392B"/>
          <w:sz w:val="28"/>
          <w:szCs w:val="28"/>
        </w:rPr>
        <w:t xml:space="preserve">8. Conclusion</w:t>
      </w:r>
    </w:p>
    <w:p>
      <w:pPr>
        <w:spacing w:after="60" w:before="60"/>
        <w:jc w:val="left"/>
      </w:pPr>
      <w:r>
        <w:rPr>
          <w:rFonts w:ascii="Arial" w:cs="Arial" w:eastAsia="Arial" w:hAnsi="Arial"/>
          <w:b w:val="false"/>
          <w:bCs w:val="false"/>
          <w:i w:val="false"/>
          <w:iCs w:val="false"/>
          <w:color w:val="1A1A2E"/>
          <w:sz w:val="20"/>
          <w:szCs w:val="20"/>
        </w:rPr>
        <w:t xml:space="preserve">The AlumNet platform presents an excellent injection security posture. The architectural decision to use SQLAlchemy ORM exclusively, combined with the absence of shell execution and server-side template rendering with user data, effectively eliminates SQL injection, command injection, and SSTI from the threat surface. LDAP and XML injection are not applicable to this architecture. The recommendations in this report focus on sustaining this posture through static analysis tooling and developer policy rather than remediating existing vulnerabilities.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2026-05-05T22:35:02.767Z</dcterms:created>
  <dcterms:modified xsi:type="dcterms:W3CDTF">2026-05-05T22:35:02.767Z</dcterms:modified>
</cp:coreProperties>
</file>

<file path=docProps/custom.xml><?xml version="1.0" encoding="utf-8"?>
<Properties xmlns="http://schemas.openxmlformats.org/officeDocument/2006/custom-properties" xmlns:vt="http://schemas.openxmlformats.org/officeDocument/2006/docPropsVTypes"/>
</file>