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1 - IDENTIFICAÇÃO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Identificação do produto: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ÁCIDO SULFÚRICO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Usos recomendados: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Fabricação de fertilizantes, explosivos, pigmentos inorgânicos, rayon e filmes ; refino de petróleo ; agente decapante ; reagente de laboratório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Detalhes do fornecedor: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br/>
              <w:t>PORTUGAL QUÍMICA LTDA.</w:t>
              <w:br/>
              <w:br/>
              <w:t>Endereço: Av. Marcelo Zanarotti, 465 - Distrito Industrial - Dumont/SP - Brasil - Cep: 14120-000</w:t>
              <w:br/>
              <w:t>Telefone: +55 16 3844-0999</w:t>
              <w:br/>
              <w:t>E-mail: portugal@portugalquimica.com.br</w:t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Número do telefone de emergência: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AMBIPAR - 0800-117-2020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2 - IDENTIFICAÇÃO DE PERIGOS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Classificação da substância ou mistura: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Toxicidade aguda - Oral - Categoria 5;</w:t>
              <w:br/>
              <w:t>Toxicidade aguda - Inalação - Categoria 2;</w:t>
              <w:br/>
              <w:t>Corrosão/irritação à pele - Categoria 1A;</w:t>
              <w:br/>
              <w:t>Lesões oculares graves/irritação ocular - Categoria 1;</w:t>
              <w:br/>
              <w:t>Toxicidade para órgãos-alvo específicos - Exposição única - Categoria 1;</w:t>
              <w:br/>
              <w:t>Toxicidade para órgãos-alvo específicos - Exposição repetida - Categoria 1.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Sistema de classificação utilizado: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Norma ABNT-NBR 14725-2023.</w:t>
              <w:br/>
              <w:t>Sistema Globalmente Harmonizado para a Classificação e Rotulagem de Produtos Químicos, ONU.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Outros perigos que não resultam em uma classificação: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são conhecidos outros perigos do produto.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Elementos de rotulagem do GHS, incluindo frases de precaução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864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Pictogramas:</w:t>
            </w:r>
          </w:p>
          <w:p>
            <w:pPr>
              <w:jc w:val="center"/>
            </w:pPr>
            <w:r>
              <w:rPr>
                <w:rFonts w:ascii="Arial" w:hAnsi="Arial"/>
                <w:sz w:val="24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57600" cy="1828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ogramas_combinado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Palavra de advertência: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Frases de perigo: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H303 - Pode ser nocivo se ingerido;
H330 - Fatal se inalado;
H314 - Provoca queimadura severa à pele e dano aos olhos;
H318 - Provoca lesões oculares graves;
H370 - Provoca danos aos órgãos do sistema respiratório;
H372 - Provoca danos aos órgãos do sistema respiratório por exposição repetida ou prolongada;
H402 - Nocivo para os organismos aquáticos;
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Frases de precaução: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P331 - EM CASO DE INGESTÃO: Enxágue a boca;</w:t>
              <w:br/>
              <w:br/>
              <w:t>P353 - EM CASO DE CONTATO COM A PELE (ou com o cabelo): Retire imediatamente toda a roupa contaminada;</w:t>
              <w:br/>
              <w:br/>
              <w:t>P340 - EM CASO DE INALAÇÃO: Remova a pessoa para local ventilado e a mantenha em repouso numa posição que não dificulte a respiração;</w:t>
              <w:br/>
              <w:br/>
              <w:t>P338 - EM CASO DE CONTATO COM OS OLHOS: Enxágue cuidadosamente com água durante vários minutos;</w:t>
              <w:br/>
              <w:br/>
              <w:t>P311 - EM CASO DE exposição ou suspeita de exposição: Contate um CENTRO DE INFORMAÇÃO TOXICOLÓGICA/médico;</w:t>
              <w:br/>
              <w:br/>
              <w:t>P364 - Retire imediatamente toda a roupa contaminada e lave-a antes de usá-la novamente;</w:t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3 - COMPOSIÇÃO E INFORMAÇÕES SOBRE OS INGREDIENTES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SUBSTÂNCIA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Identidade química: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ÁCIDO SULFÚRICO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Sinônimo: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Ácido para Bateria ; Óleo de Vitríolo ; Ácido Fertilizante ; Sulfato de Hidrogênio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Número de registro CAS: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7664-93-9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Impurezas que contribuem para o perigo: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apresenta impurezas que contribuam para o perigo.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4 - MEDIDAS DE PRIMEIROS-SOCORROS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Inalação: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Ar fresco, repouso. Posição semi-sentada. Pode ser necessária respiração artificial. Encaminhar imediatamente para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Contato com a pele: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Use luvas de proteção ao prestar primeiros socorros. Primeiro, lave com bastante água por pelo menos 15 minutos, depois remova as roupas contaminadas e lave novamente. Encaminhe imediatamente para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Contato com os olhos: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Lave com bastante água durante vários minutos (remova as lentes de contato se for fácil fazê-lo). Procure imediatamente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Ingestão: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Enxágue a boca. Não dar nada para beber. NÃO induza vômito. Encaminhar imediatamente para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Sintomas e efeitos mais importantes, agudos ou tardios: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Inalação: Tosse. Dor de garganta. Sensação de queimação. Falta de ar. Respiração ofegante.</w:t>
              <w:br/>
              <w:t>Contato com a pele: Vermelhidão. Dor. Bolhas. Queimaduras graves na pele.</w:t>
              <w:br/>
              <w:t>Contato com os olhos: Vermelhidão. Dor. Queimaduras graves.</w:t>
              <w:br/>
              <w:t>Ingestão: Queimaduras na boca e na garganta. Sensação de queimação atrás do esterno. Dor abdominal. Vômitos. Choque ou colapso.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Notas para o médico: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Ao prestar socorro, proteja-se para evitar contato com a substância causadora do dano. O tratamento deve focar em aliviar os sintomas e garantir o suporte das funções vitais, como repor fluidos e eletrólitos, corrigir problemas metabólicos e, se necessário, auxiliar na respiração. Em caso de contato com a pele, evite esfregar a área afetada.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5 - MEDIDAS DE COMBATE A INCÊNDIO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Meios de extinção: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SEM água. Em caso de incêndio nas proximidades, use meios extintores apropriados. Em caso de incêndio: mantenha tambores, etc., frios borrifando com água. SEM contato direto da substância com água.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Perigos específicos da mistura ou substância: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inflamável. Muitas reações podem causar incêndio ou explosão. Em caso de incêndio, desprende fumos (ou gases) irritantes ou tóxicos. Risco de fogo e explosão ao entrar em contato com bases, substâncias inflamáveis, agentes redutores, água ou materiais orgânicos.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proteção especiais para a equipe de combate a incêndio: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 caso de exposição a um incêndio ambiental, substâncias perigosas podem ser liberadas. Óxidos de enxofre: use aparelho de respiração autônomo e um traje especial hermeticamente fechado.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6 - MEDIDAS DE CONTROLE PARA DERRAMAMENTO OU VAZAMENTO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Precauções pessoais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Para o pessoal que não faz parte dos serviços de emergência: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fume. Evite contato com o produto. Caso necessário, utilize equipamento de proteção individual conforme descrito na seção 8.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Para pessoal de serviço de emergência: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Isole o vazamento de fontes de ignição preventivamente.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Precauções ao meio ambiente: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deve ser jogado no meio ambiente.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Métodos e materiais para contenção e limpeza: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Use equipamento de proteção durante a limpeza, se necessário. Realize manutenção e outros trabalhos dentro ou sobre o vaso ou espaços fechados somente após obter permissão por escrito.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7- MANUSEIO E ARMAZENAMENTO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Medidas técnicas apropriadas para o manuseio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Precauções para manuseio seguro: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Provisão de boa ventilação na área de trabalho. É necessário ter instalações para lavagem no local de trabalho. Ao manipular grandes quantidades da substância, é exigido um chuveiro de emergência. É necessário também ter um lava-olhos. Esses locais devem ser claramente sinalizados. Equipamentos: Utilize aparelhos fechados, sempre que possível. Se não for possível evitar a liberação da substância, esta deve ser aspirada no ponto de saída. Rotule claramente recipientes e tubulações. Materiais adequados: geralmente resistentes: Vidro, Esmalte. A temperaturas mais baixas: Polietileno (PE), Cloreto de polivinila (PVC), Polipropileno (PP). Em diferentes faixas de concentração e temperatura, a resistência dos metais pode variar enormemente. Antes de escolher materiais de construção, busque informações específicas. Materiais inadequados: metais não nobres. Orientações para manipulação segura: Cuide para manter o local de trabalho limpo e seco. A substância não deve estar presente nos locais de trabalho em quantidades superiores àquelas necessárias para a realização do trabalho. Ao misturar com água ou líquidos orgânicos, adicione o ácido sulfúrico concentrado lentamente, sob agitação e, se necessário, com refrigeração. Não deixe o recipiente aberto. Deve-se garantir ventilação suficiente durante o reabastecimento, transferência ou uso aberto. Evite respingos. Encha apenas em recipientes rotulados. Evite qualquer contato durante a manipulação da substância. Utilize um recipiente externo apropriado ao transportar em recipientes frágeis. Limpeza e manutenção: Use equipamento de proteção durante a limpeza, se necessário. Realize manutenção e outros trabalhos no interior do recipiente ou em espaços fechados somente após obter permissão por escrito.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higiene: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Lave as mãos e o rosto cuidadosamente após o manuseio e antes de comer, beber, fumar ou ir ao banheiro. Roupas contaminadas devem ser trocadas e lavadas antes de sua reutilização. Remova a roupa e o equipamento de proteção contaminado antes de entrar nas áreas de alimentação.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Condições de armazenamento seguro, incluindo qualquer incompatibilidade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Prevenção de incêndio e explosão: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NENHUM contato com materiais incompatíveis: Veja os Perigos Químicos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Condições adequadas: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Armazene em local seco, fresco e bem ventilado. Mantenha os recipientes fechados e protegidos da luz solar direta e da umidade. Evite a proximidade de materiais incompatíveis.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Métodos e Materiais adequados para embalagem: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Classe de armazenamento 8 B (substâncias não inflamáveis corrosivas). Apenas substâncias da mesma classe de armazenamento devem ser armazenadas juntas. É proibido o armazenamento conjunto com as seguintes substâncias: - Produtos farmacêuticos, alimentos e rações animais, incluindo aditivos. - Substâncias infecciosas, radioativas e explosivas. - Substâncias fortemente oxidantes da classe de armazenamento 5.1A. - Peróxidos orgânicos e substâncias autoreativas. Sob certas condições, é permitido o armazenamento conjunto com as seguintes substâncias (para mais detalhes, consulte a TRGS 510): - Outras substâncias explosivas da classe de armazenamento 4.1A. - Substâncias pirofóricas. - Substâncias que liberam gases inflamáveis em contato com água. - Nitrato de amônio e preparações contendo nitrato de amônio. A substância não deve ser armazenada com substâncias com as quais reações químicas perigosas possam ocorrer.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8- CONTROLE DE EXPOSIÇÃO E PROTEÇÃO INDIVIDUAL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Parâmetros de controle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Limites de exposição ocupacional: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LT: Brasil - Valor Médio 48hNão estabelecido | LT: EUA - TWA0,2 mg/m³</w:t>
              <w:br/>
              <w:t>LT: Brasil - Valor TetoNão estabelecido | LT: EUA - STELNão estabelecido</w:t>
              <w:br/>
              <w:t>Limite de Percepção OlfativaMaior que 0,25 ppm | IDLH/IPVS15 mg/m³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Indicadores biológicos: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Outros limites e valores: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controle de engenharia: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Recomenda-se o uso de ventilação adequada para manter as concentrações de vapores, névoas ou poeiras abaixo dos limites de exposição ocupacional. Sempre que possível, utilize sistemas de exaustão local e ventilação geral para reduzir a exposição no ambiente de trabalho.</w:t>
              <w:br/>
              <w:t>Instalações de lavagem de olhos e chuveiros de emergência devem estar disponíveis próximas às áreas de manuseio do produto.</w:t>
              <w:br/>
              <w:t>Assegurar que os procedimentos de higiene e segurança sejam seguidos, evitando contato direto com a substância e prevenindo a inalação de partículas, vapores ou gases liberados durante o uso.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Medidas de proteção pessoal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dos olhos/face: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ocular adequada deve ser usada. Use óculos de segurança químicos. Se houver risco para o rosto, um protetor facial também deve ser utilizado. Se surgirem vapores ou aerossóis que possam lesionar os olhos, a segurança dos olhos será melhor garantida com o uso de uma máscara completa.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da pele e do corpo: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Dependendo do risco, use um avental suficientemente longo e botas ou um traje de proteção química adequado.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respiratória: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Em caso de emergência (por exemplo: liberação involuntária da substância, exceder o valor limite de exposição ocupacional), deve-se utilizar proteção respiratória. Considere o período máximo de uso. Proteção respiratória: filtro combinado E - P2, código de cor amarelo-branco. Utilize um dispositivo isolante em concentrações acima dos limites de uso dos dispositivos filtrantes, em concentrações de oxigênio abaixo de 17% em volume ou em situações não claras.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Perigos térmicos: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Evitar a exposição do produto a fontes de calor, superfícies aquecidas, faíscas ou chamas abertas. O contato com temperaturas elevadas pode provocar decomposição, alteração das propriedades químicas ou liberação de vapores/gases perigosos. Adotar medidas de prevenção para reduzir riscos de queimaduras e acidentes térmicos durante o manuseio, armazenamento e transporte.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9- PROPRIEDADES FÍSICAS E QUÍMICAS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Estado físico: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líquido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Cor: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incolour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Odor e limite de odor: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inodoro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fusão/ponto de congelamento: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10,94 °C (100%)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ebulição ou ponto de ebulição inicial e faixa de ebulição: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290,0 °C (100%)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Inflamabilidade (sólido; líquidos e gás):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inflamável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Limite inferior/superior de inflamabilidade ou explosividade: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fulgor: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Temperatura de autoignição: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Temperatura de decomposição: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340 °C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pH: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&lt; 1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Viscosidade cinemática: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Solubilidade: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1000 g/l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Coeficiente de partição - noctanol/água: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Pressão de vapor: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0,0000593 mmHg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Densidade relativa: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Densidade de vapor relativa: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Características das partículas (sólidos):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Outras informações: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 xml:space="preserve">CARACTERIZAÇÃO QUÍMICA Substância não inflamável. Ligeiramente viscosa, fortemente higroscópica. Miscível com água. A solução aquosa reage de forma ácida. Não volátil. Age como agente oxidante com aumento de temperatura. O ácido sulfúrico concentrado pode destruir substâncias orgânicas por desidratação com carbonização. Resultam riscos agudos ou crônicos à saúde decorrentes da substância. (ver: capítulo REGULAMENTAÇÕES).  </w:t>
              <w:br/>
              <w:t xml:space="preserve">PROPRIEDADES incolor, inodora  </w:t>
              <w:br/>
              <w:t xml:space="preserve">Reações perigosas com outros produtos químicos Reage violentamente com materiais combustíveis, redutores, bases, produtos orgânicos, cloratos, carbetos, fulminatos, picratos e metais.  </w:t>
              <w:br/>
              <w:t xml:space="preserve">Reatividade com materiais comuns Extremamente perigoso em contato com muitos materiais, particularmente metais e combustíveis; o ácido diluído reage com a maioria dos metais, liberando hidrogênio, que pode formar mistura explosiva com o ar em áreas confinadas.  </w:t>
              <w:br/>
              <w:t>REAÇÕES PERIGOSAS Temperatura de decomposição: 340 °C Reações químicas perigosas Risco de explosão em contato com: metais alcalinos/ alcalino-terrosos substâncias combustíveis hidróxido de potássio soda cáustica hidróxido de sódio peróxido de hidrogênio acetaldeído; acetoncianidrina; óxidos alcalinos (raros); alquilnitratos (raros); solução de amônia; sulfato férrico de amônio dodecaidratado (raro); peróxido de benzaldeído-p-bromofenilhidrazone; álcool benzílico (calor); bromatos; carbetos; cloratos; cloritos; ácido clorossulfônico; ciclopentadieno; dietilamina; 1,5-dinitronaftaleno; hidróxidos alcalino-terrosos (raros); ácido fluorídrico; fulminatos; tert-butoxido de potássio; permanganatos; peróxido de metil etil cetona; tetrahidroborato de sódio; óxido de sódio (raro); nitramida; nitratos (raros); o-nitroanilina (calor), nitrometano; N-nitrometilamina; nitrotolueno; percloratos; ácido perclórico (raro); ácido permangânico (raro); picratos; 2-propen-1-ol; 2-propin-1-ol; nitreto de mercúrio; ácido nítrico + substâncias orgânicas; trinitrotolueno A substância polimeriza em contato com: 1-cloro-2,3-epoxipropano A substância pode reagir perigosamente com: alumínio substâncias orgânicas agentes redutores ácido nítrico acetonitrila; acroleína/oclusão; acrilonitrila; alumínio; aminoetanol; amônia concentrada; anilina; pentafluoreto de bromo; hidreto de cálcio; p-cloronitrobenzeno + trióxido de enxofre (calor); trifluoreto de cloro; cloreto de hidrogênio/ácido sulfúrico concentrado; 2-ciano-2-propanol; oxima de ciclopentanona (calor); 1,4-diazidobenzeno; éter dietílico; p-dimetilaminobenzaldeído; óxidos alcalino-terrosos; ácido acético; anidrido acético/inclusão; cianidrina do etileno; etilenodiamina; síntese; calor; cobre; siliceto de lítio; solventes altamente inflamáveis; metais/ácido diluído; 4-metilpiridina; carbonato de sódio; tiocianato de sódio; p-nitroacetanilida (calor); p-nitroanilina (calor); sulfato de p-nitroanilina (calor); ácido p-nitroanilinasulfônico (calor); ácido m-nitrobenzenossulfônico; fósforo, vermelho e branco; trióxido de fósforo; óxido de propeno; mercúrio; prata; tetrametilbenzeno; 1,2,4,5-tetrazina; água/ácido sulfúrico concentrado; açúcar Para oleum (ácido sulfúrico fumegante) ver ZVG-Nr. 520023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10 - ESTABILIDADE E REATIVIDADE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Estabilidade: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 estável em condições normais de temperatura e pressão.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Reatividade: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sofre polimerização perigosa.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Possibilidade de reações perigosas: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Pode Reagir de forma perigosa com materiais combustíveis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Condições a serem evitadas: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Temperaturas elevadas, fonte de ignição e contato com materiais incompatíveis.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Materiais incompatíveis: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Não 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Produtos perigosos da decomposição: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disponivel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68"/>
      <w:gridCol w:w="144"/>
      <w:gridCol w:w="4320"/>
      <w:gridCol w:w="144"/>
      <w:gridCol w:w="3024"/>
    </w:tblGrid>
    <w:tr>
      <w:tc>
        <w:tcPr>
          <w:tcW w:type="dxa" w:w="360"/>
          <w:vMerge w:val="restart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645920" cy="99718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99718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60"/>
          <w:vMerge w:val="restart"/>
        </w:tcPr>
        <w:p/>
      </w:tc>
      <w:tc>
        <w:tcPr>
          <w:tcW w:type="dxa" w:w="360"/>
          <w:vMerge w:val="restart"/>
          <w:vAlign w:val="center"/>
        </w:tcPr>
        <w:p>
          <w:pPr>
            <w:jc w:val="center"/>
          </w:pPr>
          <w:r>
            <w:rPr>
              <w:rFonts w:ascii="Arial" w:hAnsi="Arial"/>
              <w:b/>
              <w:sz w:val="36"/>
            </w:rPr>
            <w:t>FDS - ÁCIDO SULFÚRICO</w:t>
            <w:tab/>
          </w:r>
        </w:p>
      </w:tc>
      <w:tc>
        <w:tcPr>
          <w:tcW w:type="dxa" w:w="360"/>
          <w:vMerge w:val="restart"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FOR-40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Revisao: 01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DATA:</w:t>
            <w:br/>
            <w:t>28/07/2024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 xml:space="preserve">Página </w:t>
          </w:r>
          <w:r>
            <w:rPr>
              <w:rFonts w:ascii="Arial" w:hAnsi="Arial"/>
              <w:b/>
              <w:sz w:val="24"/>
            </w:rPr>
            <w:fldChar w:fldCharType="begin"/>
            <w:instrText xml:space="preserve">PAGE</w:instrText>
            <w:fldChar w:fldCharType="separate"/>
            <w:t>1</w:t>
            <w:fldChar w:fldCharType="end"/>
          </w:r>
          <w:r>
            <w:rPr>
              <w:rFonts w:ascii="Arial" w:hAnsi="Arial"/>
              <w:b/>
              <w:sz w:val="24"/>
            </w:rPr>
            <w:t xml:space="preserve"> de </w:t>
          </w:r>
          <w:r>
            <w:rPr>
              <w:rFonts w:ascii="Arial" w:hAnsi="Arial"/>
              <w:b/>
              <w:sz w:val="24"/>
            </w:rPr>
            <w:fldChar w:fldCharType="begin"/>
            <w:instrText xml:space="preserve">NUMPAGES</w:instrText>
            <w:fldChar w:fldCharType="separate"/>
            <w:t>1</w:t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