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1 - IDENTIFICAÇÃO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Identificação do produto: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Cloreto de sódio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Usos recomendados: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Este produto químico é formulado para atender a diversas aplicações industriais e laboratoriais.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Detalhes do fornecedor: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br/>
              <w:t>PORTUGAL QUÍMICA LTDA.</w:t>
              <w:br/>
              <w:br/>
              <w:t>Endereço: Av. Marcelo Zanarotti, 465 - Distrito Industrial - Dumont/SP - Brasil - Cep: 14120-000</w:t>
              <w:br/>
              <w:t>Telefone: +55 16 3844-0999</w:t>
              <w:br/>
              <w:t>E-mail: portugal@portugalquimica.com.br</w:t>
              <w:br/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Número do telefone de emergência: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AMBIPAR - 0800-117-2020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2 - IDENTIFICAÇÃO DE PERIGOS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Classificação da substância ou mistura: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Produto não perigoso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Sistema de classificação utilizado: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Norma ABNT-NBR 14725-2023.</w:t>
              <w:br/>
              <w:t>Sistema Globalmente Harmonizado para a Classificação e Rotulagem de Produtos Químicos, ONU.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Outros perigos que não resultam em uma classificação: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são conhecidos outros perigos do produto.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Elementos de rotulagem do GHS, incluindo frases de precaução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864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Pictogramas:</w:t>
            </w:r>
          </w:p>
          <w:p>
            <w:pPr>
              <w:jc w:val="center"/>
            </w:pPr>
            <w:r>
              <w:rPr>
                <w:rFonts w:ascii="Arial" w:hAnsi="Arial"/>
                <w:sz w:val="24"/>
              </w:rPr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disponivel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Palavra de advertência: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Frases de perigo: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Frases de precaução: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3 - COMPOSIÇÃO E INFORMAÇÕES SOBRE OS INGREDIENTES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SUBSTÂNCIA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Identidade química: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Cloreto de sódio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Sinônimo: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Número de registro CAS: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7647-14-5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Impurezas que contribuem para o perigo: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apresenta impurezas que contribuam para o perigo.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4 - MEDIDAS DE PRIMEIROS-SOCORROS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Inalação: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Sempre que aparecerem irritação ou queixas: enquanto se protege, remova a vítima da área perigosa e leve-a para o ar fresco. Providencie tratamento médico.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Contato com a pele: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Remova a roupa contaminada protegendo-se. Enxágue as áreas da pele afetadas por pelo menos 10 a 20 minutos com água corrente. Se aparecer irritação: providencie tratamento médico.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Contato com os olhos: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Após contato com poeira ou soluções concentradas: Enxágue o olho afetado com as pálpebras bem abertas por 10 minutos sob água corrente, protegendo o olho não afetado. Se a irritação persistir: Procure atendimento médico.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Ingestão: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Se soluções concentradas ou grandes quantidades do sal foram ingeridas: enxágue a boca e cuspa os líquidos. Se a vítima estiver consciente, dê a ela um copo de água (cerca de 200 ml). É provável que ocorra vômito espontâneo: mantenha a cabeça da vítima baixa e o corpo em posição prona para evitar aspiração. Providencie atendimento médico.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Sintomas e efeitos mais importantes, agudos ou tardios: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Notas para o médico: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Ao prestar socorro, proteja-se para evitar contato com a substância causadora do dano. O tratamento deve focar em aliviar os sintomas e garantir o suporte das funções vitais, como repor fluidos e eletrólitos, corrigir problemas metabólicos e, se necessário, auxiliar na respiração. Em caso de contato com a pele, evite esfregar a área afetada.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5 - MEDIDAS DE COMBATE A INCÊNDIO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Meios de extinção: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A substância é incombustível. Selecione as medidas de combate a incêndio de acordo com as condições ao redor.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Perigos específicos da mistura ou substância: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Medidas de proteção especiais para a equipe de combate a incêndio: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6 - MEDIDAS DE CONTROLE PARA DERRAMAMENTO OU VAZAMENTO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Precauções pessoais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Para o pessoal que não faz parte dos serviços de emergência: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fume. Evite contato com o produto. Caso necessário, utilize equipamento de proteção individual conforme descrito na seção 8.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Para pessoal de serviço de emergência: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Isole o vazamento de fontes de ignição preventivamente.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Precauções ao meio ambiente: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deve ser jogado no meio ambiente.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Métodos e materiais para contenção e limpeza: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Evite a formação de poeira. A poeira que não puder ser evitada deve ser coletada regularmente. Utilize um aspirador industrial testado ou dispositivo de sucção. Não levante poeira durante a limpeza. É proibido o uso de soprador para limpeza. Alternativa: limpeza úmida.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7- MANUSEIO E ARMAZENAMENTO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Medidas técnicas apropriadas para o manuseio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Precauções para manuseio seguro: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Selecione medidas de ventilação de acordo com as outras substâncias utilizadas. Se houver risco de liberação de poeiras, o ambiente de trabalho deverá dispor de ventilação adequada. É obrigatória a instalação de instalações para lavagem no local de trabalho. Equipamento: aspirar o pó no ponto de saída. Considere os valores limites de emissão, purificando os gases residuais, se necessário. Os recipientes devem ser claramente identificados. Orientações para manuseio mais seguro: não deixar o recipiente aberto. Deve-se garantir ventilação suficiente durante o reabastecimento, transferência ou uso aberto. Encher apenas em recipientes claramente identificados. Evitar a formação de poeira. Poeira que não puder ser evitada deve ser coletada regularmente. Utilize um aspirador industrial testado ou dispositivo de sucção. Não levantar poeira durante a limpeza. É proibido o uso de sopradores para limpeza. Alternativa: limpeza úmida.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Medidas de higiene: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Lave as mãos e o rosto cuidadosamente após o manuseio e antes de comer, beber, fumar ou ir ao banheiro. Roupas contaminadas devem ser trocadas e lavadas antes de sua reutilização. Remova a roupa e o equipamento de proteção contaminado antes de entrar nas áreas de alimentação.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Condições de armazenamento seguro, incluindo qualquer incompatibilidade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Prevenção de incêndio e explosão: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se espera que o produto apresente risco significativo de incêndio ou explosão em condições normais de uso e armazenamento.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Condições adequadas: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Armazene em local seco, fresco e bem ventilado. Mantenha os recipientes fechados e protegidos da luz solar direta e da umidade. Evite a proximidade de materiais incompatíveis.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Métodos e Materiais adequados para embalagem: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Classe de armazenamento 10 - 13 (Outros líquidos e sólidos) Apenas substâncias da mesma classe de armazenamento devem ser armazenadas juntas. É proibido o armazenamento conjunto com as seguintes substâncias: - Produtos farmacêuticos, alimentos e rações animais, incluindo aditivos. - Substâncias infecciosas, radioativas e explosivas. - Substâncias fortemente oxidantes da classe de armazenamento 5.1A. Sob certas condições, é permitido o armazenamento conjunto com as seguintes substâncias (para mais detalhes, consulte a TRGS 510): - Gases. - Líquidos inflamáveis da classe de armazenamento 3. - Outras substâncias explosivas da classe de armazenamento 4.1A. - Substâncias pirofóricas. - Substâncias que liberam gases inflamáveis em contato com água. - Substâncias oxidantes da classe de armazenamento 5.1B. - Nitrato de amônio e preparações contendo nitrato de amônio. - Peróxidos orgânicos e substâncias autoreativas. - Substâncias agudamente tóxicas combustíveis e não combustíveis das classes de armazenamento 6.1A e 6.1B. A substância não deve ser armazenada junto com substâncias com as quais possam ocorrer reações químicas perigosas.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8- CONTROLE DE EXPOSIÇÃO E PROTEÇÃO INDIVIDUAL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Parâmetros de controle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Limites de exposição ocupacional: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Indicadores biológicos: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disponível.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Outros limites e valores: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disponível.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Medidas de controle de engenharia: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Recomenda-se o uso de ventilação adequada para manter as concentrações de vapores, névoas ou poeiras abaixo dos limites de exposição ocupacional. Sempre que possível, utilize sistemas de exaustão local e ventilação geral para reduzir a exposição no ambiente de trabalho.</w:t>
              <w:br/>
              <w:t>Instalações de lavagem de olhos e chuveiros de emergência devem estar disponíveis próximas às áreas de manuseio do produto.</w:t>
              <w:br/>
              <w:t>Assegurar que os procedimentos de higiene e segurança sejam seguidos, evitando contato direto com a substância e prevenindo a inalação de partículas, vapores ou gases liberados durante o uso.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rPr>
          <w:trHeight w:hRule="exact" w:val="320"/>
        </w:trPr>
        <w:tc>
          <w:tcPr>
            <w:tcW w:type="dxa" w:w="8640"/>
            <w:gridSpan w:val="2"/>
          </w:tcPr>
          <w:p>
            <w:r>
              <w:rPr>
                <w:rFonts w:ascii="Arial" w:hAnsi="Arial"/>
                <w:b/>
                <w:sz w:val="24"/>
              </w:rPr>
              <w:t>Medidas de proteção pessoal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Proteção dos olhos/face: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Use óculos com proteção lateral.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Proteção da pele e do corpo: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Use um avental ou um jaleco.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Proteção respiratória: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Em caso de emergência (por exemplo: liberação involuntária da substância), deve-se usar proteção respiratória. Considere o período máximo de uso. Proteção respiratória: filtro de partículas P1, código de cor branco.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Perigos térmicos: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Evitar a exposição do produto a fontes de calor, superfícies aquecidas, faíscas ou chamas abertas. O contato com temperaturas elevadas pode provocar decomposição, alteração das propriedades químicas ou liberação de vapores/gases perigosos. Adotar medidas de prevenção para reduzir riscos de queimaduras e acidentes térmicos durante o manuseio, armazenamento e transporte.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9- PROPRIEDADES FÍSICAS E QUÍMICAS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Estado físico: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sólido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Cor: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incolour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Odor e limite de odor: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inodoro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Ponto de fusão/ponto de congelamento: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801,0 °C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Ponto de ebulição ou ponto de ebulição inicial e faixa de ebulição: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1413,0 °C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Inflamabilidade (sólido; líquidos e gás):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inflamável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Limite inferior/superior de inflamabilidade ou explosividade: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Ponto de fulgor: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Temperatura de autoignição: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Temperatura de decomposição: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pH: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7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Viscosidade cinemática: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Solubilidade: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Coeficiente de partição - noctanol/água: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Pressão de vapor: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Densidade relativa: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Densidade de vapor relativa: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Características das partículas (sólidos):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Não disponível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>Outras informações: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Arial" w:hAnsi="Arial"/>
                <w:sz w:val="24"/>
              </w:rPr>
              <w:t xml:space="preserve">EXPLOSIVIDADE DE PÓ: não. Sem risco de explosão de pó. Fonte: 99999  </w:t>
              <w:br/>
              <w:t xml:space="preserve">REAÇÕES PERIGOSAS: Reações químicas perigosas. Risco de explosão em contato com: metais alcalinos (raro). A substância pode reagir perigosamente com: lítio -&gt; sódio (O lítio em chamas pode liberar o sódio mais reativo do cloreto de sódio).  </w:t>
              <w:br/>
              <w:t xml:space="preserve">CARACTERIZAÇÃO QUÍMICA: Substância não combustível. Solúvel livremente em água.  </w:t>
              <w:br/>
              <w:t>PROPRIEDADES: cristalino, incolor, inodoro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6480"/>
        <w:gridCol w:w="4320"/>
      </w:tblGrid>
      <w:tr>
        <w:trPr>
          <w:trHeight w:hRule="exact" w:val="360"/>
        </w:trPr>
        <w:tc>
          <w:tcPr>
            <w:tcW w:type="dxa" w:w="8640"/>
            <w:gridSpan w:val="2"/>
            <w:tcBorders>
              <w:top w:val="single" w:sz="8" w:space="0" w:color="000000"/>
              <w:bottom w:val="single" w:sz="8" w:space="0" w:color="000000"/>
              <w:left w:val="nil"/>
              <w:right w:val="nil"/>
            </w:tcBorders>
          </w:tcPr>
          <w:p>
            <w:r>
              <w:rPr>
                <w:rFonts w:ascii="Arial" w:hAnsi="Arial"/>
                <w:b/>
                <w:sz w:val="28"/>
              </w:rPr>
              <w:t>10 - ESTABILIDADE E REATIVIDADE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Estabilidade: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Produto estável em condições normais de temperatura e pressão.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Reatividade: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sofre polimerização perigosa.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Possibilidade de reações perigosas: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Pode Reagir de forma perigosa com materiais combustíveis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Condições a serem evitadas: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Temperaturas elevadas, fonte de ignição e contato com materiais incompatíveis.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Materiais incompatíveis: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 xml:space="preserve">Não 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12"/>
        <w:gridCol w:w="7488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Produtos perigosos da decomposição: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rFonts w:ascii="Arial" w:hAnsi="Arial"/>
                <w:sz w:val="24"/>
              </w:rPr>
              <w:t>Não disponivel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TableGrid"/>
      <w:tblW w:type="auto" w:w="0"/>
      <w:jc w:val="center"/>
      <w:tblLook w:firstColumn="1" w:firstRow="1" w:lastColumn="0" w:lastRow="0" w:noHBand="0" w:noVBand="1" w:val="04A0"/>
    </w:tblPr>
    <w:tblGrid>
      <w:gridCol w:w="3168"/>
      <w:gridCol w:w="144"/>
      <w:gridCol w:w="4320"/>
      <w:gridCol w:w="144"/>
      <w:gridCol w:w="3024"/>
    </w:tblGrid>
    <w:tr>
      <w:tc>
        <w:tcPr>
          <w:tcW w:type="dxa" w:w="360"/>
          <w:vMerge w:val="restart"/>
          <w:vAlign w:val="center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1645920" cy="99718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99718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60"/>
          <w:vMerge w:val="restart"/>
        </w:tcPr>
        <w:p/>
      </w:tc>
      <w:tc>
        <w:tcPr>
          <w:tcW w:type="dxa" w:w="360"/>
          <w:vMerge w:val="restart"/>
          <w:vAlign w:val="center"/>
        </w:tcPr>
        <w:p>
          <w:pPr>
            <w:jc w:val="center"/>
          </w:pPr>
          <w:r>
            <w:rPr>
              <w:rFonts w:ascii="Arial" w:hAnsi="Arial"/>
              <w:b/>
              <w:sz w:val="36"/>
            </w:rPr>
            <w:t>FDS - Cloreto de sódio</w:t>
            <w:tab/>
          </w:r>
        </w:p>
      </w:tc>
      <w:tc>
        <w:tcPr>
          <w:tcW w:type="dxa" w:w="360"/>
          <w:vMerge w:val="restart"/>
        </w:tcPr>
        <w:p/>
      </w:tc>
      <w:tc>
        <w:tcPr>
          <w:tcW w:type="dxa" w:w="360"/>
          <w:vAlign w:val="center"/>
        </w:tcPr>
        <w:p/>
        <w:p>
          <w:pPr>
            <w:jc w:val="center"/>
          </w:pPr>
          <w:r>
            <w:rPr>
              <w:rFonts w:ascii="Arial" w:hAnsi="Arial"/>
              <w:b/>
              <w:sz w:val="24"/>
            </w:rPr>
            <w:t>FOR-40</w:t>
          </w:r>
        </w:p>
      </w:tc>
    </w:tr>
    <w:tr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Align w:val="center"/>
        </w:tcPr>
        <w:p/>
        <w:p>
          <w:pPr>
            <w:jc w:val="center"/>
          </w:pPr>
          <w:r>
            <w:rPr>
              <w:rFonts w:ascii="Arial" w:hAnsi="Arial"/>
              <w:b/>
              <w:sz w:val="24"/>
            </w:rPr>
            <w:t>Revisao: 01</w:t>
          </w:r>
        </w:p>
      </w:tc>
    </w:tr>
    <w:tr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Align w:val="center"/>
        </w:tcPr>
        <w:p/>
        <w:p>
          <w:pPr>
            <w:jc w:val="center"/>
          </w:pPr>
          <w:r>
            <w:rPr>
              <w:rFonts w:ascii="Arial" w:hAnsi="Arial"/>
              <w:b/>
              <w:sz w:val="24"/>
            </w:rPr>
            <w:t>DATA:</w:t>
            <w:br/>
            <w:t>28/07/2024</w:t>
          </w:r>
        </w:p>
      </w:tc>
    </w:tr>
    <w:tr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Merge/>
        </w:tcPr>
        <w:p/>
      </w:tc>
      <w:tc>
        <w:tcPr>
          <w:tcW w:type="dxa" w:w="360"/>
          <w:vAlign w:val="center"/>
        </w:tcPr>
        <w:p/>
        <w:p>
          <w:pPr>
            <w:jc w:val="center"/>
          </w:pPr>
          <w:r>
            <w:rPr>
              <w:rFonts w:ascii="Arial" w:hAnsi="Arial"/>
              <w:b/>
              <w:sz w:val="24"/>
            </w:rPr>
            <w:t xml:space="preserve">Página </w:t>
          </w:r>
          <w:r>
            <w:rPr>
              <w:rFonts w:ascii="Arial" w:hAnsi="Arial"/>
              <w:b/>
              <w:sz w:val="24"/>
            </w:rPr>
            <w:fldChar w:fldCharType="begin"/>
            <w:instrText xml:space="preserve">PAGE</w:instrText>
            <w:fldChar w:fldCharType="separate"/>
            <w:t>1</w:t>
            <w:fldChar w:fldCharType="end"/>
          </w:r>
          <w:r>
            <w:rPr>
              <w:rFonts w:ascii="Arial" w:hAnsi="Arial"/>
              <w:b/>
              <w:sz w:val="24"/>
            </w:rPr>
            <w:t xml:space="preserve"> de </w:t>
          </w:r>
          <w:r>
            <w:rPr>
              <w:rFonts w:ascii="Arial" w:hAnsi="Arial"/>
              <w:b/>
              <w:sz w:val="24"/>
            </w:rPr>
            <w:fldChar w:fldCharType="begin"/>
            <w:instrText xml:space="preserve">NUMPAGES</w:instrText>
            <w:fldChar w:fldCharType="separate"/>
            <w:t>1</w:t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