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ook w:firstColumn="1" w:firstRow="1" w:lastColumn="0" w:lastRow="0" w:noHBand="0" w:noVBand="1" w:val="04A0"/>
      </w:tblPr>
      <w:tblGrid>
        <w:gridCol w:w="6480"/>
        <w:gridCol w:w="4320"/>
      </w:tblGrid>
      <w:tr>
        <w:trPr>
          <w:trHeight w:hRule="exact" w:val="360"/>
        </w:trPr>
        <w:tc>
          <w:tcPr>
            <w:tcW w:type="dxa" w:w="8640"/>
            <w:gridSpan w:val="2"/>
            <w:tcBorders>
              <w:top w:val="single" w:sz="8" w:space="0" w:color="000000"/>
              <w:bottom w:val="single" w:sz="8" w:space="0" w:color="000000"/>
              <w:left w:val="nil"/>
              <w:right w:val="nil"/>
            </w:tcBorders>
          </w:tcPr>
          <w:p>
            <w:r>
              <w:rPr>
                <w:rFonts w:ascii="Arial" w:hAnsi="Arial"/>
                <w:b/>
                <w:sz w:val="28"/>
              </w:rPr>
              <w:t>1 - IDENTIFICAÇÃO</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Identificação do produto:</w:t>
            </w:r>
          </w:p>
        </w:tc>
        <w:tc>
          <w:tcPr>
            <w:tcW w:type="dxa" w:w="4320"/>
            <w:shd w:val="clear" w:color="auto" w:fill="d9d9d9"/>
          </w:tcPr>
          <w:p>
            <w:pPr>
              <w:jc w:val="center"/>
            </w:pPr>
            <w:r>
              <w:rPr>
                <w:rFonts w:ascii="Arial" w:hAnsi="Arial"/>
                <w:sz w:val="24"/>
              </w:rPr>
              <w:t>Ureia Carbamida</w:t>
            </w:r>
          </w:p>
        </w:tc>
      </w:tr>
    </w:tbl>
    <w:tbl>
      <w:tblPr>
        <w:tblW w:type="auto" w:w="0"/>
        <w:jc w:val="center"/>
        <w:tblLook w:firstColumn="1" w:firstRow="1" w:lastColumn="0" w:lastRow="0" w:noHBand="0" w:noVBand="1" w:val="04A0"/>
      </w:tblPr>
      <w:tblGrid>
        <w:gridCol w:w="3312"/>
        <w:gridCol w:w="7488"/>
      </w:tblGrid>
      <w:tr>
        <w:tc>
          <w:tcPr>
            <w:tcW w:type="dxa" w:w="4320"/>
          </w:tcPr>
          <w:p>
            <w:pPr>
              <w:jc w:val="center"/>
            </w:pPr>
            <w:r>
              <w:rPr>
                <w:rFonts w:ascii="Arial" w:hAnsi="Arial"/>
                <w:sz w:val="24"/>
              </w:rPr>
              <w:t>Usos recomendados:</w:t>
            </w:r>
          </w:p>
        </w:tc>
        <w:tc>
          <w:tcPr>
            <w:tcW w:type="dxa" w:w="4320"/>
          </w:tcPr>
          <w:p>
            <w:pPr>
              <w:jc w:val="center"/>
            </w:pPr>
            <w:r>
              <w:rPr>
                <w:rFonts w:ascii="Arial" w:hAnsi="Arial"/>
                <w:sz w:val="24"/>
              </w:rPr>
              <w:t>Este produto químico é formulado para atender a diversas aplicações industriais e laboratoriais.</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Detalhes do fornecedor:</w:t>
            </w:r>
          </w:p>
        </w:tc>
        <w:tc>
          <w:tcPr>
            <w:tcW w:type="dxa" w:w="4320"/>
            <w:shd w:val="clear" w:color="auto" w:fill="d9d9d9"/>
          </w:tcPr>
          <w:p>
            <w:pPr>
              <w:jc w:val="center"/>
            </w:pPr>
            <w:r>
              <w:rPr>
                <w:rFonts w:ascii="Arial" w:hAnsi="Arial"/>
                <w:sz w:val="24"/>
              </w:rPr>
              <w:br/>
              <w:t>PORTUGAL QUÍMICA LTDA.</w:t>
              <w:br/>
              <w:br/>
              <w:t>Endereço: Av. Marcelo Zanarotti, 465 - Distrito Industrial - Dumont/SP - Brasil - Cep: 14120-000</w:t>
              <w:br/>
              <w:t>Telefone: +55 16 3844-0999</w:t>
              <w:br/>
              <w:t>E-mail: portugal@portugalquimica.com.br</w:t>
              <w:br/>
            </w:r>
          </w:p>
        </w:tc>
      </w:tr>
    </w:tbl>
    <w:tbl>
      <w:tblPr>
        <w:tblW w:type="auto" w:w="0"/>
        <w:jc w:val="center"/>
        <w:tblLook w:firstColumn="1" w:firstRow="1" w:lastColumn="0" w:lastRow="0" w:noHBand="0" w:noVBand="1" w:val="04A0"/>
      </w:tblPr>
      <w:tblGrid>
        <w:gridCol w:w="3312"/>
        <w:gridCol w:w="7488"/>
      </w:tblGrid>
      <w:tr>
        <w:tc>
          <w:tcPr>
            <w:tcW w:type="dxa" w:w="4320"/>
          </w:tcPr>
          <w:p>
            <w:pPr>
              <w:jc w:val="center"/>
            </w:pPr>
            <w:r>
              <w:rPr>
                <w:rFonts w:ascii="Arial" w:hAnsi="Arial"/>
                <w:sz w:val="24"/>
              </w:rPr>
              <w:t>Número do telefone de emergência:</w:t>
            </w:r>
          </w:p>
        </w:tc>
        <w:tc>
          <w:tcPr>
            <w:tcW w:type="dxa" w:w="4320"/>
          </w:tcPr>
          <w:p>
            <w:pPr>
              <w:jc w:val="center"/>
            </w:pPr>
            <w:r>
              <w:rPr>
                <w:rFonts w:ascii="Arial" w:hAnsi="Arial"/>
                <w:sz w:val="24"/>
              </w:rPr>
              <w:t>AMBIPAR - 0800-117-2020</w:t>
            </w:r>
          </w:p>
        </w:tc>
      </w:tr>
    </w:tbl>
    <w:tbl>
      <w:tblPr>
        <w:tblW w:type="auto" w:w="0"/>
        <w:jc w:val="center"/>
        <w:tblLook w:firstColumn="1" w:firstRow="1" w:lastColumn="0" w:lastRow="0" w:noHBand="0" w:noVBand="1" w:val="04A0"/>
      </w:tblPr>
      <w:tblGrid>
        <w:gridCol w:w="6480"/>
        <w:gridCol w:w="4320"/>
      </w:tblGrid>
      <w:tr>
        <w:trPr>
          <w:trHeight w:hRule="exact" w:val="360"/>
        </w:trPr>
        <w:tc>
          <w:tcPr>
            <w:tcW w:type="dxa" w:w="8640"/>
            <w:gridSpan w:val="2"/>
            <w:tcBorders>
              <w:top w:val="single" w:sz="8" w:space="0" w:color="000000"/>
              <w:bottom w:val="single" w:sz="8" w:space="0" w:color="000000"/>
              <w:left w:val="nil"/>
              <w:right w:val="nil"/>
            </w:tcBorders>
          </w:tcPr>
          <w:p>
            <w:r>
              <w:rPr>
                <w:rFonts w:ascii="Arial" w:hAnsi="Arial"/>
                <w:b/>
                <w:sz w:val="28"/>
              </w:rPr>
              <w:t>2 - IDENTIFICAÇÃO DE PERIGOS</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Classificação da substância ou mistura:</w:t>
            </w:r>
          </w:p>
        </w:tc>
        <w:tc>
          <w:tcPr>
            <w:tcW w:type="dxa" w:w="4320"/>
            <w:shd w:val="clear" w:color="auto" w:fill="d9d9d9"/>
          </w:tcPr>
          <w:p>
            <w:pPr>
              <w:jc w:val="center"/>
            </w:pPr>
            <w:r>
              <w:rPr>
                <w:rFonts w:ascii="Arial" w:hAnsi="Arial"/>
                <w:sz w:val="24"/>
              </w:rPr>
              <w:t>Produto não perigoso</w:t>
            </w:r>
          </w:p>
        </w:tc>
      </w:tr>
    </w:tbl>
    <w:tbl>
      <w:tblPr>
        <w:tblW w:type="auto" w:w="0"/>
        <w:jc w:val="center"/>
        <w:tblLook w:firstColumn="1" w:firstRow="1" w:lastColumn="0" w:lastRow="0" w:noHBand="0" w:noVBand="1" w:val="04A0"/>
      </w:tblPr>
      <w:tblGrid>
        <w:gridCol w:w="3312"/>
        <w:gridCol w:w="7488"/>
      </w:tblGrid>
      <w:tr>
        <w:tc>
          <w:tcPr>
            <w:tcW w:type="dxa" w:w="4320"/>
          </w:tcPr>
          <w:p>
            <w:pPr>
              <w:jc w:val="center"/>
            </w:pPr>
            <w:r>
              <w:rPr>
                <w:rFonts w:ascii="Arial" w:hAnsi="Arial"/>
                <w:sz w:val="24"/>
              </w:rPr>
              <w:t>Sistema de classificação utilizado:</w:t>
            </w:r>
          </w:p>
        </w:tc>
        <w:tc>
          <w:tcPr>
            <w:tcW w:type="dxa" w:w="4320"/>
          </w:tcPr>
          <w:p>
            <w:pPr>
              <w:jc w:val="center"/>
            </w:pPr>
            <w:r>
              <w:rPr>
                <w:rFonts w:ascii="Arial" w:hAnsi="Arial"/>
                <w:sz w:val="24"/>
              </w:rPr>
              <w:t>Norma ABNT-NBR 14725-2023.</w:t>
              <w:br/>
              <w:t>Sistema Globalmente Harmonizado para a Classificação e Rotulagem de Produtos Químicos, ONU.</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Outros perigos que não resultam em uma classificação:</w:t>
            </w:r>
          </w:p>
        </w:tc>
        <w:tc>
          <w:tcPr>
            <w:tcW w:type="dxa" w:w="4320"/>
            <w:shd w:val="clear" w:color="auto" w:fill="d9d9d9"/>
          </w:tcPr>
          <w:p>
            <w:pPr>
              <w:jc w:val="center"/>
            </w:pPr>
            <w:r>
              <w:rPr>
                <w:rFonts w:ascii="Arial" w:hAnsi="Arial"/>
                <w:sz w:val="24"/>
              </w:rPr>
              <w:t>Não são conhecidos outros perigos do produto.</w:t>
            </w:r>
          </w:p>
        </w:tc>
      </w:tr>
    </w:tbl>
    <w:tbl>
      <w:tblPr>
        <w:tblW w:type="auto" w:w="0"/>
        <w:jc w:val="center"/>
        <w:tblLook w:firstColumn="1" w:firstRow="1" w:lastColumn="0" w:lastRow="0" w:noHBand="0" w:noVBand="1" w:val="04A0"/>
      </w:tblPr>
      <w:tblGrid>
        <w:gridCol w:w="3312"/>
        <w:gridCol w:w="7488"/>
      </w:tblGrid>
      <w:tr>
        <w:trPr>
          <w:trHeight w:hRule="exact" w:val="320"/>
        </w:trPr>
        <w:tc>
          <w:tcPr>
            <w:tcW w:type="dxa" w:w="8640"/>
            <w:gridSpan w:val="2"/>
          </w:tcPr>
          <w:p>
            <w:r>
              <w:rPr>
                <w:rFonts w:ascii="Arial" w:hAnsi="Arial"/>
                <w:b/>
                <w:sz w:val="24"/>
              </w:rPr>
              <w:t>Elementos de rotulagem do GHS, incluindo frases de precaução</w:t>
            </w:r>
          </w:p>
        </w:tc>
      </w:tr>
    </w:tbl>
    <w:tbl>
      <w:tblPr>
        <w:tblW w:type="auto" w:w="0"/>
        <w:jc w:val="center"/>
        <w:tblLook w:firstColumn="1" w:firstRow="1" w:lastColumn="0" w:lastRow="0" w:noHBand="0" w:noVBand="1" w:val="04A0"/>
      </w:tblPr>
      <w:tblGrid>
        <w:gridCol w:w="3312"/>
        <w:gridCol w:w="7488"/>
      </w:tblGrid>
      <w:tr>
        <w:tc>
          <w:tcPr>
            <w:tcW w:type="dxa" w:w="8640"/>
            <w:gridSpan w:val="2"/>
            <w:shd w:val="clear" w:color="auto" w:fill="d9d9d9"/>
          </w:tcPr>
          <w:p>
            <w:pPr>
              <w:jc w:val="center"/>
            </w:pPr>
            <w:r>
              <w:rPr>
                <w:rFonts w:ascii="Arial" w:hAnsi="Arial"/>
                <w:sz w:val="24"/>
              </w:rPr>
              <w:t>Pictogramas:</w:t>
            </w:r>
          </w:p>
          <w:p>
            <w:pPr>
              <w:jc w:val="center"/>
            </w:pPr>
            <w:r>
              <w:rPr>
                <w:rFonts w:ascii="Arial" w:hAnsi="Arial"/>
                <w:sz w:val="24"/>
              </w:rPr>
            </w:r>
          </w:p>
        </w:tc>
      </w:tr>
    </w:tbl>
    <w:tbl>
      <w:tblPr>
        <w:tblW w:type="auto" w:w="0"/>
        <w:tblLook w:firstColumn="1" w:firstRow="1" w:lastColumn="0" w:lastRow="0" w:noHBand="0" w:noVBand="1" w:val="04A0"/>
      </w:tblPr>
      <w:tblGrid>
        <w:gridCol w:w="10800"/>
      </w:tblGrid>
      <w:tr>
        <w:tc>
          <w:tcPr>
            <w:tcW w:type="dxa" w:w="8640"/>
          </w:tcPr>
          <w:p>
            <w:pPr>
              <w:jc w:val="center"/>
            </w:pPr>
            <w:r>
              <w:rPr>
                <w:rFonts w:ascii="Arial" w:hAnsi="Arial"/>
                <w:sz w:val="24"/>
              </w:rPr>
              <w:t>Não disponivel</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Palavra de advertência:</w:t>
            </w:r>
          </w:p>
        </w:tc>
        <w:tc>
          <w:tcPr>
            <w:tcW w:type="dxa" w:w="4320"/>
            <w:shd w:val="clear" w:color="auto" w:fill="d9d9d9"/>
          </w:tcPr>
          <w:p>
            <w:pPr>
              <w:jc w:val="center"/>
            </w:pPr>
            <w:r>
              <w:rPr>
                <w:rFonts w:ascii="Arial" w:hAnsi="Arial"/>
                <w:sz w:val="24"/>
              </w:rPr>
              <w:t>Não disponível</w:t>
            </w:r>
          </w:p>
        </w:tc>
      </w:tr>
    </w:tbl>
    <w:tbl>
      <w:tblPr>
        <w:tblW w:type="auto" w:w="0"/>
        <w:jc w:val="center"/>
        <w:tblLook w:firstColumn="1" w:firstRow="1" w:lastColumn="0" w:lastRow="0" w:noHBand="0" w:noVBand="1" w:val="04A0"/>
      </w:tblPr>
      <w:tblGrid>
        <w:gridCol w:w="3312"/>
        <w:gridCol w:w="7488"/>
      </w:tblGrid>
      <w:tr>
        <w:tc>
          <w:tcPr>
            <w:tcW w:type="dxa" w:w="4320"/>
          </w:tcPr>
          <w:p>
            <w:pPr>
              <w:jc w:val="center"/>
            </w:pPr>
            <w:r>
              <w:rPr>
                <w:rFonts w:ascii="Arial" w:hAnsi="Arial"/>
                <w:sz w:val="24"/>
              </w:rPr>
              <w:t>Frases de perigo:</w:t>
            </w:r>
          </w:p>
        </w:tc>
        <w:tc>
          <w:tcPr>
            <w:tcW w:type="dxa" w:w="4320"/>
          </w:tcPr>
          <w:p>
            <w:pPr>
              <w:jc w:val="center"/>
            </w:pPr>
            <w:r>
              <w:rPr>
                <w:rFonts w:ascii="Arial" w:hAnsi="Arial"/>
                <w:sz w:val="24"/>
              </w:rPr>
              <w:t>Não disponível</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Frases de precaução:</w:t>
            </w:r>
          </w:p>
        </w:tc>
        <w:tc>
          <w:tcPr>
            <w:tcW w:type="dxa" w:w="4320"/>
            <w:shd w:val="clear" w:color="auto" w:fill="d9d9d9"/>
          </w:tcPr>
          <w:p>
            <w:pPr>
              <w:jc w:val="center"/>
            </w:pPr>
            <w:r>
              <w:rPr>
                <w:rFonts w:ascii="Arial" w:hAnsi="Arial"/>
                <w:sz w:val="24"/>
              </w:rPr>
              <w:t>Não disponível</w:t>
            </w:r>
          </w:p>
        </w:tc>
      </w:tr>
    </w:tbl>
    <w:tbl>
      <w:tblPr>
        <w:tblW w:type="auto" w:w="0"/>
        <w:jc w:val="center"/>
        <w:tblLook w:firstColumn="1" w:firstRow="1" w:lastColumn="0" w:lastRow="0" w:noHBand="0" w:noVBand="1" w:val="04A0"/>
      </w:tblPr>
      <w:tblGrid>
        <w:gridCol w:w="6480"/>
        <w:gridCol w:w="4320"/>
      </w:tblGrid>
      <w:tr>
        <w:trPr>
          <w:trHeight w:hRule="exact" w:val="360"/>
        </w:trPr>
        <w:tc>
          <w:tcPr>
            <w:tcW w:type="dxa" w:w="8640"/>
            <w:gridSpan w:val="2"/>
            <w:tcBorders>
              <w:top w:val="single" w:sz="8" w:space="0" w:color="000000"/>
              <w:bottom w:val="single" w:sz="8" w:space="0" w:color="000000"/>
              <w:left w:val="nil"/>
              <w:right w:val="nil"/>
            </w:tcBorders>
          </w:tcPr>
          <w:p>
            <w:r>
              <w:rPr>
                <w:rFonts w:ascii="Arial" w:hAnsi="Arial"/>
                <w:b/>
                <w:sz w:val="28"/>
              </w:rPr>
              <w:t>3 - COMPOSIÇÃO E INFORMAÇÕES SOBRE OS INGREDIENTES</w:t>
            </w:r>
          </w:p>
        </w:tc>
      </w:tr>
    </w:tbl>
    <w:tbl>
      <w:tblPr>
        <w:tblW w:type="auto" w:w="0"/>
        <w:jc w:val="center"/>
        <w:tblLook w:firstColumn="1" w:firstRow="1" w:lastColumn="0" w:lastRow="0" w:noHBand="0" w:noVBand="1" w:val="04A0"/>
      </w:tblPr>
      <w:tblGrid>
        <w:gridCol w:w="3312"/>
        <w:gridCol w:w="7488"/>
      </w:tblGrid>
      <w:tr>
        <w:trPr>
          <w:trHeight w:hRule="exact" w:val="320"/>
        </w:trPr>
        <w:tc>
          <w:tcPr>
            <w:tcW w:type="dxa" w:w="8640"/>
            <w:gridSpan w:val="2"/>
          </w:tcPr>
          <w:p>
            <w:r>
              <w:rPr>
                <w:rFonts w:ascii="Arial" w:hAnsi="Arial"/>
                <w:b/>
                <w:sz w:val="24"/>
              </w:rPr>
              <w:t>SUBSTÂNCIA</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Identidade química:</w:t>
            </w:r>
          </w:p>
        </w:tc>
        <w:tc>
          <w:tcPr>
            <w:tcW w:type="dxa" w:w="4320"/>
            <w:shd w:val="clear" w:color="auto" w:fill="d9d9d9"/>
          </w:tcPr>
          <w:p>
            <w:pPr>
              <w:jc w:val="center"/>
            </w:pPr>
            <w:r>
              <w:rPr>
                <w:rFonts w:ascii="Arial" w:hAnsi="Arial"/>
                <w:sz w:val="24"/>
              </w:rPr>
              <w:t>Ureia Carbamida</w:t>
            </w:r>
          </w:p>
        </w:tc>
      </w:tr>
    </w:tbl>
    <w:tbl>
      <w:tblPr>
        <w:tblW w:type="auto" w:w="0"/>
        <w:jc w:val="center"/>
        <w:tblLook w:firstColumn="1" w:firstRow="1" w:lastColumn="0" w:lastRow="0" w:noHBand="0" w:noVBand="1" w:val="04A0"/>
      </w:tblPr>
      <w:tblGrid>
        <w:gridCol w:w="3312"/>
        <w:gridCol w:w="7488"/>
      </w:tblGrid>
      <w:tr>
        <w:tc>
          <w:tcPr>
            <w:tcW w:type="dxa" w:w="4320"/>
          </w:tcPr>
          <w:p>
            <w:pPr>
              <w:jc w:val="center"/>
            </w:pPr>
            <w:r>
              <w:rPr>
                <w:rFonts w:ascii="Arial" w:hAnsi="Arial"/>
                <w:sz w:val="24"/>
              </w:rPr>
              <w:t>Sinônimo:</w:t>
            </w:r>
          </w:p>
        </w:tc>
        <w:tc>
          <w:tcPr>
            <w:tcW w:type="dxa" w:w="4320"/>
          </w:tcPr>
          <w:p>
            <w:pPr>
              <w:jc w:val="center"/>
            </w:pPr>
            <w:r>
              <w:rPr>
                <w:rFonts w:ascii="Arial" w:hAnsi="Arial"/>
                <w:sz w:val="24"/>
              </w:rPr>
              <w:t>Carbamida;Carboidiamida</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Número de registro CAS:</w:t>
            </w:r>
          </w:p>
        </w:tc>
        <w:tc>
          <w:tcPr>
            <w:tcW w:type="dxa" w:w="4320"/>
            <w:shd w:val="clear" w:color="auto" w:fill="d9d9d9"/>
          </w:tcPr>
          <w:p>
            <w:pPr>
              <w:jc w:val="center"/>
            </w:pPr>
            <w:r>
              <w:rPr>
                <w:rFonts w:ascii="Arial" w:hAnsi="Arial"/>
                <w:sz w:val="24"/>
              </w:rPr>
              <w:t>57-13-6</w:t>
            </w:r>
          </w:p>
        </w:tc>
      </w:tr>
    </w:tbl>
    <w:tbl>
      <w:tblPr>
        <w:tblW w:type="auto" w:w="0"/>
        <w:jc w:val="center"/>
        <w:tblLook w:firstColumn="1" w:firstRow="1" w:lastColumn="0" w:lastRow="0" w:noHBand="0" w:noVBand="1" w:val="04A0"/>
      </w:tblPr>
      <w:tblGrid>
        <w:gridCol w:w="3312"/>
        <w:gridCol w:w="7488"/>
      </w:tblGrid>
      <w:tr>
        <w:tc>
          <w:tcPr>
            <w:tcW w:type="dxa" w:w="4320"/>
          </w:tcPr>
          <w:p>
            <w:pPr>
              <w:jc w:val="center"/>
            </w:pPr>
            <w:r>
              <w:rPr>
                <w:rFonts w:ascii="Arial" w:hAnsi="Arial"/>
                <w:sz w:val="24"/>
              </w:rPr>
              <w:t>Impurezas que contribuem para o perigo:</w:t>
            </w:r>
          </w:p>
        </w:tc>
        <w:tc>
          <w:tcPr>
            <w:tcW w:type="dxa" w:w="4320"/>
          </w:tcPr>
          <w:p>
            <w:pPr>
              <w:jc w:val="center"/>
            </w:pPr>
            <w:r>
              <w:rPr>
                <w:rFonts w:ascii="Arial" w:hAnsi="Arial"/>
                <w:sz w:val="24"/>
              </w:rPr>
              <w:t>Não apresenta impurezas que contribuam para o perigo.</w:t>
            </w:r>
          </w:p>
        </w:tc>
      </w:tr>
    </w:tbl>
    <w:tbl>
      <w:tblPr>
        <w:tblW w:type="auto" w:w="0"/>
        <w:jc w:val="center"/>
        <w:tblLook w:firstColumn="1" w:firstRow="1" w:lastColumn="0" w:lastRow="0" w:noHBand="0" w:noVBand="1" w:val="04A0"/>
      </w:tblPr>
      <w:tblGrid>
        <w:gridCol w:w="6480"/>
        <w:gridCol w:w="4320"/>
      </w:tblGrid>
      <w:tr>
        <w:trPr>
          <w:trHeight w:hRule="exact" w:val="360"/>
        </w:trPr>
        <w:tc>
          <w:tcPr>
            <w:tcW w:type="dxa" w:w="8640"/>
            <w:gridSpan w:val="2"/>
            <w:tcBorders>
              <w:top w:val="single" w:sz="8" w:space="0" w:color="000000"/>
              <w:bottom w:val="single" w:sz="8" w:space="0" w:color="000000"/>
              <w:left w:val="nil"/>
              <w:right w:val="nil"/>
            </w:tcBorders>
          </w:tcPr>
          <w:p>
            <w:r>
              <w:rPr>
                <w:rFonts w:ascii="Arial" w:hAnsi="Arial"/>
                <w:b/>
                <w:sz w:val="28"/>
              </w:rPr>
              <w:t>4 - MEDIDAS DE PRIMEIROS-SOCORROS</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Inalação:</w:t>
            </w:r>
          </w:p>
        </w:tc>
        <w:tc>
          <w:tcPr>
            <w:tcW w:type="dxa" w:w="4320"/>
            <w:shd w:val="clear" w:color="auto" w:fill="d9d9d9"/>
          </w:tcPr>
          <w:p>
            <w:pPr>
              <w:jc w:val="center"/>
            </w:pPr>
            <w:r>
              <w:rPr>
                <w:rFonts w:ascii="Arial" w:hAnsi="Arial"/>
                <w:sz w:val="24"/>
              </w:rPr>
              <w:t>Ar fresco, descanso.</w:t>
            </w:r>
          </w:p>
        </w:tc>
      </w:tr>
    </w:tbl>
    <w:tbl>
      <w:tblPr>
        <w:tblW w:type="auto" w:w="0"/>
        <w:jc w:val="center"/>
        <w:tblLook w:firstColumn="1" w:firstRow="1" w:lastColumn="0" w:lastRow="0" w:noHBand="0" w:noVBand="1" w:val="04A0"/>
      </w:tblPr>
      <w:tblGrid>
        <w:gridCol w:w="3312"/>
        <w:gridCol w:w="7488"/>
      </w:tblGrid>
      <w:tr>
        <w:tc>
          <w:tcPr>
            <w:tcW w:type="dxa" w:w="4320"/>
          </w:tcPr>
          <w:p>
            <w:pPr>
              <w:jc w:val="center"/>
            </w:pPr>
            <w:r>
              <w:rPr>
                <w:rFonts w:ascii="Arial" w:hAnsi="Arial"/>
                <w:sz w:val="24"/>
              </w:rPr>
              <w:t>Contato com a pele:</w:t>
            </w:r>
          </w:p>
        </w:tc>
        <w:tc>
          <w:tcPr>
            <w:tcW w:type="dxa" w:w="4320"/>
          </w:tcPr>
          <w:p>
            <w:pPr>
              <w:jc w:val="center"/>
            </w:pPr>
            <w:r>
              <w:rPr>
                <w:rFonts w:ascii="Arial" w:hAnsi="Arial"/>
                <w:sz w:val="24"/>
              </w:rPr>
              <w:t>Enxágue e depois lave a pele com água e sabão.</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Contato com os olhos:</w:t>
            </w:r>
          </w:p>
        </w:tc>
        <w:tc>
          <w:tcPr>
            <w:tcW w:type="dxa" w:w="4320"/>
            <w:shd w:val="clear" w:color="auto" w:fill="d9d9d9"/>
          </w:tcPr>
          <w:p>
            <w:pPr>
              <w:jc w:val="center"/>
            </w:pPr>
            <w:r>
              <w:rPr>
                <w:rFonts w:ascii="Arial" w:hAnsi="Arial"/>
                <w:sz w:val="24"/>
              </w:rPr>
              <w:t>Primeiro, enxágue com bastante água por vários minutos (remova as lentes de contato se for possível fazê-lo facilmente), depois procure atendimento médico.</w:t>
            </w:r>
          </w:p>
        </w:tc>
      </w:tr>
    </w:tbl>
    <w:tbl>
      <w:tblPr>
        <w:tblW w:type="auto" w:w="0"/>
        <w:jc w:val="center"/>
        <w:tblLook w:firstColumn="1" w:firstRow="1" w:lastColumn="0" w:lastRow="0" w:noHBand="0" w:noVBand="1" w:val="04A0"/>
      </w:tblPr>
      <w:tblGrid>
        <w:gridCol w:w="3312"/>
        <w:gridCol w:w="7488"/>
      </w:tblGrid>
      <w:tr>
        <w:tc>
          <w:tcPr>
            <w:tcW w:type="dxa" w:w="4320"/>
          </w:tcPr>
          <w:p>
            <w:pPr>
              <w:jc w:val="center"/>
            </w:pPr>
            <w:r>
              <w:rPr>
                <w:rFonts w:ascii="Arial" w:hAnsi="Arial"/>
                <w:sz w:val="24"/>
              </w:rPr>
              <w:t>Ingestão:</w:t>
            </w:r>
          </w:p>
        </w:tc>
        <w:tc>
          <w:tcPr>
            <w:tcW w:type="dxa" w:w="4320"/>
          </w:tcPr>
          <w:p>
            <w:pPr>
              <w:jc w:val="center"/>
            </w:pPr>
            <w:r>
              <w:rPr>
                <w:rFonts w:ascii="Arial" w:hAnsi="Arial"/>
                <w:sz w:val="24"/>
              </w:rPr>
              <w:t>Dê um ou dois copos de água para beber. Descanse.</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Sintomas e efeitos mais importantes, agudos ou tardios:</w:t>
            </w:r>
          </w:p>
        </w:tc>
        <w:tc>
          <w:tcPr>
            <w:tcW w:type="dxa" w:w="4320"/>
            <w:shd w:val="clear" w:color="auto" w:fill="d9d9d9"/>
          </w:tcPr>
          <w:p>
            <w:pPr>
              <w:jc w:val="center"/>
            </w:pPr>
            <w:r>
              <w:rPr>
                <w:rFonts w:ascii="Arial" w:hAnsi="Arial"/>
                <w:sz w:val="24"/>
              </w:rPr>
              <w:t>Inalação: Tosse. Falta de ar. Dor de garganta.</w:t>
              <w:br/>
              <w:t>Contato com a pele: Vermelhidão.</w:t>
              <w:br/>
              <w:t>Contato com os olhos: Vermelhidão.</w:t>
              <w:br/>
              <w:t>Ingestão: Convulsões. Dor de cabeça. Náusea. Vômito.</w:t>
            </w:r>
          </w:p>
        </w:tc>
      </w:tr>
    </w:tbl>
    <w:tbl>
      <w:tblPr>
        <w:tblW w:type="auto" w:w="0"/>
        <w:jc w:val="center"/>
        <w:tblLook w:firstColumn="1" w:firstRow="1" w:lastColumn="0" w:lastRow="0" w:noHBand="0" w:noVBand="1" w:val="04A0"/>
      </w:tblPr>
      <w:tblGrid>
        <w:gridCol w:w="3312"/>
        <w:gridCol w:w="7488"/>
      </w:tblGrid>
      <w:tr>
        <w:tc>
          <w:tcPr>
            <w:tcW w:type="dxa" w:w="4320"/>
          </w:tcPr>
          <w:p>
            <w:pPr>
              <w:jc w:val="center"/>
            </w:pPr>
            <w:r>
              <w:rPr>
                <w:rFonts w:ascii="Arial" w:hAnsi="Arial"/>
                <w:sz w:val="24"/>
              </w:rPr>
              <w:t>Notas para o médico:</w:t>
            </w:r>
          </w:p>
        </w:tc>
        <w:tc>
          <w:tcPr>
            <w:tcW w:type="dxa" w:w="4320"/>
          </w:tcPr>
          <w:p>
            <w:pPr>
              <w:jc w:val="center"/>
            </w:pPr>
            <w:r>
              <w:rPr>
                <w:rFonts w:ascii="Arial" w:hAnsi="Arial"/>
                <w:sz w:val="24"/>
              </w:rPr>
              <w:t>Ao prestar socorro, proteja-se para evitar contato com a substância causadora do dano. O tratamento deve focar em aliviar os sintomas e garantir o suporte das funções vitais, como repor fluidos e eletrólitos, corrigir problemas metabólicos e, se necessário, auxiliar na respiração. Em caso de contato com a pele, evite esfregar a área afetada.</w:t>
            </w:r>
          </w:p>
        </w:tc>
      </w:tr>
    </w:tbl>
    <w:tbl>
      <w:tblPr>
        <w:tblW w:type="auto" w:w="0"/>
        <w:jc w:val="center"/>
        <w:tblLook w:firstColumn="1" w:firstRow="1" w:lastColumn="0" w:lastRow="0" w:noHBand="0" w:noVBand="1" w:val="04A0"/>
      </w:tblPr>
      <w:tblGrid>
        <w:gridCol w:w="6480"/>
        <w:gridCol w:w="4320"/>
      </w:tblGrid>
      <w:tr>
        <w:trPr>
          <w:trHeight w:hRule="exact" w:val="360"/>
        </w:trPr>
        <w:tc>
          <w:tcPr>
            <w:tcW w:type="dxa" w:w="8640"/>
            <w:gridSpan w:val="2"/>
            <w:tcBorders>
              <w:top w:val="single" w:sz="8" w:space="0" w:color="000000"/>
              <w:bottom w:val="single" w:sz="8" w:space="0" w:color="000000"/>
              <w:left w:val="nil"/>
              <w:right w:val="nil"/>
            </w:tcBorders>
          </w:tcPr>
          <w:p>
            <w:r>
              <w:rPr>
                <w:rFonts w:ascii="Arial" w:hAnsi="Arial"/>
                <w:b/>
                <w:sz w:val="28"/>
              </w:rPr>
              <w:t>5 - MEDIDAS DE COMBATE A INCÊNDIO</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Meios de extinção:</w:t>
            </w:r>
          </w:p>
        </w:tc>
        <w:tc>
          <w:tcPr>
            <w:tcW w:type="dxa" w:w="4320"/>
            <w:shd w:val="clear" w:color="auto" w:fill="d9d9d9"/>
          </w:tcPr>
          <w:p>
            <w:pPr>
              <w:jc w:val="center"/>
            </w:pPr>
            <w:r>
              <w:rPr>
                <w:rFonts w:ascii="Arial" w:hAnsi="Arial"/>
                <w:sz w:val="24"/>
              </w:rPr>
              <w:t>Em caso de incêndio nas proximidades, use o meio extintor apropriado.</w:t>
            </w:r>
          </w:p>
        </w:tc>
      </w:tr>
    </w:tbl>
    <w:tbl>
      <w:tblPr>
        <w:tblW w:type="auto" w:w="0"/>
        <w:jc w:val="center"/>
        <w:tblLook w:firstColumn="1" w:firstRow="1" w:lastColumn="0" w:lastRow="0" w:noHBand="0" w:noVBand="1" w:val="04A0"/>
      </w:tblPr>
      <w:tblGrid>
        <w:gridCol w:w="3312"/>
        <w:gridCol w:w="7488"/>
      </w:tblGrid>
      <w:tr>
        <w:tc>
          <w:tcPr>
            <w:tcW w:type="dxa" w:w="4320"/>
          </w:tcPr>
          <w:p>
            <w:pPr>
              <w:jc w:val="center"/>
            </w:pPr>
            <w:r>
              <w:rPr>
                <w:rFonts w:ascii="Arial" w:hAnsi="Arial"/>
                <w:sz w:val="24"/>
              </w:rPr>
              <w:t>Perigos específicos da mistura ou substância:</w:t>
            </w:r>
          </w:p>
        </w:tc>
        <w:tc>
          <w:tcPr>
            <w:tcW w:type="dxa" w:w="4320"/>
          </w:tcPr>
          <w:p>
            <w:pPr>
              <w:jc w:val="center"/>
            </w:pPr>
            <w:r>
              <w:rPr>
                <w:rFonts w:ascii="Arial" w:hAnsi="Arial"/>
                <w:sz w:val="24"/>
              </w:rPr>
              <w:t>Não inflamável. Em caso de incêndio, libera fumaças ou gases irritantes ou tóxicos.</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Medidas de proteção especiais para a equipe de combate a incêndio:</w:t>
            </w:r>
          </w:p>
        </w:tc>
        <w:tc>
          <w:tcPr>
            <w:tcW w:type="dxa" w:w="4320"/>
            <w:shd w:val="clear" w:color="auto" w:fill="d9d9d9"/>
          </w:tcPr>
          <w:p>
            <w:pPr>
              <w:jc w:val="center"/>
            </w:pPr>
            <w:r>
              <w:rPr>
                <w:rFonts w:ascii="Arial" w:hAnsi="Arial"/>
                <w:sz w:val="24"/>
              </w:rPr>
              <w:t>No caso de exposição a um incêndio ambiental, substâncias perigosas podem ser liberadas. Gases nitrosos (óxidos de nitrogênio), amônia. Use aparelho de respiração autônomo e um traje especial hermeticamente fechado.</w:t>
            </w:r>
          </w:p>
        </w:tc>
      </w:tr>
    </w:tbl>
    <w:tbl>
      <w:tblPr>
        <w:tblW w:type="auto" w:w="0"/>
        <w:jc w:val="center"/>
        <w:tblLook w:firstColumn="1" w:firstRow="1" w:lastColumn="0" w:lastRow="0" w:noHBand="0" w:noVBand="1" w:val="04A0"/>
      </w:tblPr>
      <w:tblGrid>
        <w:gridCol w:w="6480"/>
        <w:gridCol w:w="4320"/>
      </w:tblGrid>
      <w:tr>
        <w:trPr>
          <w:trHeight w:hRule="exact" w:val="360"/>
        </w:trPr>
        <w:tc>
          <w:tcPr>
            <w:tcW w:type="dxa" w:w="8640"/>
            <w:gridSpan w:val="2"/>
            <w:tcBorders>
              <w:top w:val="single" w:sz="8" w:space="0" w:color="000000"/>
              <w:bottom w:val="single" w:sz="8" w:space="0" w:color="000000"/>
              <w:left w:val="nil"/>
              <w:right w:val="nil"/>
            </w:tcBorders>
          </w:tcPr>
          <w:p>
            <w:r>
              <w:rPr>
                <w:rFonts w:ascii="Arial" w:hAnsi="Arial"/>
                <w:b/>
                <w:sz w:val="28"/>
              </w:rPr>
              <w:t>6 - MEDIDAS DE CONTROLE PARA DERRAMAMENTO OU VAZAMENTO</w:t>
            </w:r>
          </w:p>
        </w:tc>
      </w:tr>
    </w:tbl>
    <w:tbl>
      <w:tblPr>
        <w:tblW w:type="auto" w:w="0"/>
        <w:jc w:val="center"/>
        <w:tblLook w:firstColumn="1" w:firstRow="1" w:lastColumn="0" w:lastRow="0" w:noHBand="0" w:noVBand="1" w:val="04A0"/>
      </w:tblPr>
      <w:tblGrid>
        <w:gridCol w:w="3312"/>
        <w:gridCol w:w="7488"/>
      </w:tblGrid>
      <w:tr>
        <w:trPr>
          <w:trHeight w:hRule="exact" w:val="320"/>
        </w:trPr>
        <w:tc>
          <w:tcPr>
            <w:tcW w:type="dxa" w:w="8640"/>
            <w:gridSpan w:val="2"/>
          </w:tcPr>
          <w:p>
            <w:r>
              <w:rPr>
                <w:rFonts w:ascii="Arial" w:hAnsi="Arial"/>
                <w:b/>
                <w:sz w:val="24"/>
              </w:rPr>
              <w:t>Precauções pessoais</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Para o pessoal que não faz parte dos serviços de emergência:</w:t>
            </w:r>
          </w:p>
        </w:tc>
        <w:tc>
          <w:tcPr>
            <w:tcW w:type="dxa" w:w="4320"/>
            <w:shd w:val="clear" w:color="auto" w:fill="d9d9d9"/>
          </w:tcPr>
          <w:p>
            <w:pPr>
              <w:jc w:val="center"/>
            </w:pPr>
            <w:r>
              <w:rPr>
                <w:rFonts w:ascii="Arial" w:hAnsi="Arial"/>
                <w:sz w:val="24"/>
              </w:rPr>
              <w:t>Não fume. Evite contato com o produto. Caso necessário, utilize equipamento de proteção individual conforme descrito na seção 8.</w:t>
            </w:r>
          </w:p>
        </w:tc>
      </w:tr>
    </w:tbl>
    <w:tbl>
      <w:tblPr>
        <w:tblW w:type="auto" w:w="0"/>
        <w:jc w:val="center"/>
        <w:tblLook w:firstColumn="1" w:firstRow="1" w:lastColumn="0" w:lastRow="0" w:noHBand="0" w:noVBand="1" w:val="04A0"/>
      </w:tblPr>
      <w:tblGrid>
        <w:gridCol w:w="3312"/>
        <w:gridCol w:w="7488"/>
      </w:tblGrid>
      <w:tr>
        <w:tc>
          <w:tcPr>
            <w:tcW w:type="dxa" w:w="4320"/>
          </w:tcPr>
          <w:p>
            <w:pPr>
              <w:jc w:val="center"/>
            </w:pPr>
            <w:r>
              <w:rPr>
                <w:rFonts w:ascii="Arial" w:hAnsi="Arial"/>
                <w:sz w:val="24"/>
              </w:rPr>
              <w:t>Para pessoal de serviço de emergência:</w:t>
            </w:r>
          </w:p>
        </w:tc>
        <w:tc>
          <w:tcPr>
            <w:tcW w:type="dxa" w:w="4320"/>
          </w:tcPr>
          <w:p>
            <w:pPr>
              <w:jc w:val="center"/>
            </w:pPr>
            <w:r>
              <w:rPr>
                <w:rFonts w:ascii="Arial" w:hAnsi="Arial"/>
                <w:sz w:val="24"/>
              </w:rPr>
              <w:t>Isole o vazamento de fontes de ignição preventivamente.</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Precauções ao meio ambiente:</w:t>
            </w:r>
          </w:p>
        </w:tc>
        <w:tc>
          <w:tcPr>
            <w:tcW w:type="dxa" w:w="4320"/>
            <w:shd w:val="clear" w:color="auto" w:fill="d9d9d9"/>
          </w:tcPr>
          <w:p>
            <w:pPr>
              <w:jc w:val="center"/>
            </w:pPr>
            <w:r>
              <w:rPr>
                <w:rFonts w:ascii="Arial" w:hAnsi="Arial"/>
                <w:sz w:val="24"/>
              </w:rPr>
              <w:t>Não deve ser jogado no meio ambiente.</w:t>
            </w:r>
          </w:p>
        </w:tc>
      </w:tr>
    </w:tbl>
    <w:tbl>
      <w:tblPr>
        <w:tblW w:type="auto" w:w="0"/>
        <w:jc w:val="center"/>
        <w:tblLook w:firstColumn="1" w:firstRow="1" w:lastColumn="0" w:lastRow="0" w:noHBand="0" w:noVBand="1" w:val="04A0"/>
      </w:tblPr>
      <w:tblGrid>
        <w:gridCol w:w="3312"/>
        <w:gridCol w:w="7488"/>
      </w:tblGrid>
      <w:tr>
        <w:tc>
          <w:tcPr>
            <w:tcW w:type="dxa" w:w="4320"/>
          </w:tcPr>
          <w:p>
            <w:pPr>
              <w:jc w:val="center"/>
            </w:pPr>
            <w:r>
              <w:rPr>
                <w:rFonts w:ascii="Arial" w:hAnsi="Arial"/>
                <w:sz w:val="24"/>
              </w:rPr>
              <w:t>Métodos e materiais para contenção e limpeza:</w:t>
            </w:r>
          </w:p>
        </w:tc>
        <w:tc>
          <w:tcPr>
            <w:tcW w:type="dxa" w:w="4320"/>
          </w:tcPr>
          <w:p>
            <w:pPr>
              <w:jc w:val="center"/>
            </w:pPr>
            <w:r>
              <w:rPr>
                <w:rFonts w:ascii="Arial" w:hAnsi="Arial"/>
                <w:sz w:val="24"/>
              </w:rPr>
              <w:t>Evite a formação de poeira. A poeira que não puder ser evitada deve ser coletada regularmente. Utilize aspiradores industriais testados ou sistemas de sucção em áreas com alto risco de explosão. Não levante poeira durante a limpeza. O uso de sopradores para limpeza não é permitido. Alternativa: limpeza úmida.</w:t>
            </w:r>
          </w:p>
        </w:tc>
      </w:tr>
    </w:tbl>
    <w:tbl>
      <w:tblPr>
        <w:tblW w:type="auto" w:w="0"/>
        <w:jc w:val="center"/>
        <w:tblLook w:firstColumn="1" w:firstRow="1" w:lastColumn="0" w:lastRow="0" w:noHBand="0" w:noVBand="1" w:val="04A0"/>
      </w:tblPr>
      <w:tblGrid>
        <w:gridCol w:w="6480"/>
        <w:gridCol w:w="4320"/>
      </w:tblGrid>
      <w:tr>
        <w:trPr>
          <w:trHeight w:hRule="exact" w:val="360"/>
        </w:trPr>
        <w:tc>
          <w:tcPr>
            <w:tcW w:type="dxa" w:w="8640"/>
            <w:gridSpan w:val="2"/>
            <w:tcBorders>
              <w:top w:val="single" w:sz="8" w:space="0" w:color="000000"/>
              <w:bottom w:val="single" w:sz="8" w:space="0" w:color="000000"/>
              <w:left w:val="nil"/>
              <w:right w:val="nil"/>
            </w:tcBorders>
          </w:tcPr>
          <w:p>
            <w:r>
              <w:rPr>
                <w:rFonts w:ascii="Arial" w:hAnsi="Arial"/>
                <w:b/>
                <w:sz w:val="28"/>
              </w:rPr>
              <w:t>7- MANUSEIO E ARMAZENAMENTO</w:t>
            </w:r>
          </w:p>
        </w:tc>
      </w:tr>
    </w:tbl>
    <w:tbl>
      <w:tblPr>
        <w:tblW w:type="auto" w:w="0"/>
        <w:jc w:val="center"/>
        <w:tblLook w:firstColumn="1" w:firstRow="1" w:lastColumn="0" w:lastRow="0" w:noHBand="0" w:noVBand="1" w:val="04A0"/>
      </w:tblPr>
      <w:tblGrid>
        <w:gridCol w:w="3312"/>
        <w:gridCol w:w="7488"/>
      </w:tblGrid>
      <w:tr>
        <w:trPr>
          <w:trHeight w:hRule="exact" w:val="320"/>
        </w:trPr>
        <w:tc>
          <w:tcPr>
            <w:tcW w:type="dxa" w:w="8640"/>
            <w:gridSpan w:val="2"/>
          </w:tcPr>
          <w:p>
            <w:r>
              <w:rPr>
                <w:rFonts w:ascii="Arial" w:hAnsi="Arial"/>
                <w:b/>
                <w:sz w:val="24"/>
              </w:rPr>
              <w:t>Medidas técnicas apropriadas para o manuseio</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Precauções para manuseio seguro:</w:t>
            </w:r>
          </w:p>
        </w:tc>
        <w:tc>
          <w:tcPr>
            <w:tcW w:type="dxa" w:w="4320"/>
            <w:shd w:val="clear" w:color="auto" w:fill="d9d9d9"/>
          </w:tcPr>
          <w:p>
            <w:pPr>
              <w:jc w:val="center"/>
            </w:pPr>
            <w:r>
              <w:rPr>
                <w:rFonts w:ascii="Arial" w:hAnsi="Arial"/>
                <w:sz w:val="24"/>
              </w:rPr>
              <w:t>Selecione medidas de ventilação de acordo com as outras substâncias utilizadas. Se houver risco de liberação de poeiras, o ambiente de trabalho deverá dispor de ventilação adequada. É obrigatória a instalação de instalações para lavagem no local de trabalho. Equipamento: aspiração de poeira no ponto de saída. Considere os valores limites de emissão, purificando os gases residuais, se necessário. Os recipientes devem ser claramente identificados. Materiais adequados: vidro, aço inoxidável. Orientações para manipulação segura: mantenha o local de trabalho limpo e seco. Não deixe os recipientes abertos. Deve-se garantir ventilação suficiente durante o reabastecimento, transferência ou uso aberto. Encha apenas em recipientes claramente identificados. Evite a formação de poeira. Limpeza e manutenção: evite a formação de poeira. Poeira que não puder ser evitada deve ser coletada regularmente. Utilize aspiradores industriais testados ou sistemas de sucção em áreas com alto risco de explosão. Não levante poeira durante a limpeza. O uso de sopradores para limpeza não é permitido. Alternativa: limpeza úmida.</w:t>
            </w:r>
          </w:p>
        </w:tc>
      </w:tr>
    </w:tbl>
    <w:tbl>
      <w:tblPr>
        <w:tblW w:type="auto" w:w="0"/>
        <w:jc w:val="center"/>
        <w:tblLook w:firstColumn="1" w:firstRow="1" w:lastColumn="0" w:lastRow="0" w:noHBand="0" w:noVBand="1" w:val="04A0"/>
      </w:tblPr>
      <w:tblGrid>
        <w:gridCol w:w="3312"/>
        <w:gridCol w:w="7488"/>
      </w:tblGrid>
      <w:tr>
        <w:tc>
          <w:tcPr>
            <w:tcW w:type="dxa" w:w="4320"/>
          </w:tcPr>
          <w:p>
            <w:pPr>
              <w:jc w:val="center"/>
            </w:pPr>
            <w:r>
              <w:rPr>
                <w:rFonts w:ascii="Arial" w:hAnsi="Arial"/>
                <w:sz w:val="24"/>
              </w:rPr>
              <w:t>Medidas de higiene:</w:t>
            </w:r>
          </w:p>
        </w:tc>
        <w:tc>
          <w:tcPr>
            <w:tcW w:type="dxa" w:w="4320"/>
          </w:tcPr>
          <w:p>
            <w:pPr>
              <w:jc w:val="center"/>
            </w:pPr>
            <w:r>
              <w:rPr>
                <w:rFonts w:ascii="Arial" w:hAnsi="Arial"/>
                <w:sz w:val="24"/>
              </w:rPr>
              <w:t>Lave as mãos e o rosto cuidadosamente após o manuseio e antes de comer, beber, fumar ou ir ao banheiro. Roupas contaminadas devem ser trocadas e lavadas antes de sua reutilização. Remova a roupa e o equipamento de proteção contaminado antes de entrar nas áreas de alimentação.</w:t>
            </w:r>
          </w:p>
        </w:tc>
      </w:tr>
    </w:tbl>
    <w:tbl>
      <w:tblPr>
        <w:tblW w:type="auto" w:w="0"/>
        <w:jc w:val="center"/>
        <w:tblLook w:firstColumn="1" w:firstRow="1" w:lastColumn="0" w:lastRow="0" w:noHBand="0" w:noVBand="1" w:val="04A0"/>
      </w:tblPr>
      <w:tblGrid>
        <w:gridCol w:w="3312"/>
        <w:gridCol w:w="7488"/>
      </w:tblGrid>
      <w:tr>
        <w:trPr>
          <w:trHeight w:hRule="exact" w:val="320"/>
        </w:trPr>
        <w:tc>
          <w:tcPr>
            <w:tcW w:type="dxa" w:w="8640"/>
            <w:gridSpan w:val="2"/>
          </w:tcPr>
          <w:p>
            <w:r>
              <w:rPr>
                <w:rFonts w:ascii="Arial" w:hAnsi="Arial"/>
                <w:b/>
                <w:sz w:val="24"/>
              </w:rPr>
              <w:t>Condições de armazenamento seguro, incluindo qualquer incompatibilidade</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Prevenção de incêndio e explosão:</w:t>
            </w:r>
          </w:p>
        </w:tc>
        <w:tc>
          <w:tcPr>
            <w:tcW w:type="dxa" w:w="4320"/>
            <w:shd w:val="clear" w:color="auto" w:fill="d9d9d9"/>
          </w:tcPr>
          <w:p>
            <w:pPr>
              <w:jc w:val="center"/>
            </w:pPr>
            <w:r>
              <w:rPr>
                <w:rFonts w:ascii="Arial" w:hAnsi="Arial"/>
                <w:sz w:val="24"/>
              </w:rPr>
              <w:t>Não se espera que o produto apresente risco significativo de incêndio ou explosão em condições normais de uso e armazenamento.</w:t>
            </w:r>
          </w:p>
        </w:tc>
      </w:tr>
    </w:tbl>
    <w:tbl>
      <w:tblPr>
        <w:tblW w:type="auto" w:w="0"/>
        <w:jc w:val="center"/>
        <w:tblLook w:firstColumn="1" w:firstRow="1" w:lastColumn="0" w:lastRow="0" w:noHBand="0" w:noVBand="1" w:val="04A0"/>
      </w:tblPr>
      <w:tblGrid>
        <w:gridCol w:w="3312"/>
        <w:gridCol w:w="7488"/>
      </w:tblGrid>
      <w:tr>
        <w:tc>
          <w:tcPr>
            <w:tcW w:type="dxa" w:w="4320"/>
          </w:tcPr>
          <w:p>
            <w:pPr>
              <w:jc w:val="center"/>
            </w:pPr>
            <w:r>
              <w:rPr>
                <w:rFonts w:ascii="Arial" w:hAnsi="Arial"/>
                <w:sz w:val="24"/>
              </w:rPr>
              <w:t>Condições adequadas:</w:t>
            </w:r>
          </w:p>
        </w:tc>
        <w:tc>
          <w:tcPr>
            <w:tcW w:type="dxa" w:w="4320"/>
          </w:tcPr>
          <w:p>
            <w:pPr>
              <w:jc w:val="center"/>
            </w:pPr>
            <w:r>
              <w:rPr>
                <w:rFonts w:ascii="Arial" w:hAnsi="Arial"/>
                <w:sz w:val="24"/>
              </w:rPr>
              <w:t>Armazene em local seco, fresco e bem ventilado. Mantenha os recipientes fechados e protegidos da luz solar direta e da umidade. Evite a proximidade de materiais incompatíveis.</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Métodos e Materiais adequados para embalagem:</w:t>
            </w:r>
          </w:p>
        </w:tc>
        <w:tc>
          <w:tcPr>
            <w:tcW w:type="dxa" w:w="4320"/>
            <w:shd w:val="clear" w:color="auto" w:fill="d9d9d9"/>
          </w:tcPr>
          <w:p>
            <w:pPr>
              <w:jc w:val="center"/>
            </w:pPr>
            <w:r>
              <w:rPr>
                <w:rFonts w:ascii="Arial" w:hAnsi="Arial"/>
                <w:sz w:val="24"/>
              </w:rPr>
              <w:t>Classe de armazenamento 10 - 13 (Outros líquidos e sólidos) Apenas substâncias da mesma classe de armazenamento devem ser armazenadas juntas. É proibido o armazenamento conjunto com as seguintes substâncias: - Produtos farmacêuticos, alimentos e rações animais, incluindo aditivos. - Substâncias infecciosas, radioativas e explosivas. - Substâncias fortemente oxidantes da classe de armazenamento 5.1A. Sob certas condições, é permitido o armazenamento conjunto com as seguintes substâncias (para mais detalhes, consulte a TRGS 510): - Gases. - Líquidos inflamáveis da classe de armazenamento 3. - Outras substâncias explosivas da classe de armazenamento 4.1A. - Substâncias pirofóricas. - Substâncias que liberam gases inflamáveis em contato com água. - Substâncias oxidantes da classe de armazenamento 5.1B. - Nitrato de amônio e preparações contendo nitrato de amônio. - Peróxidos orgânicos e substâncias autoreativas. - Substâncias agudamente tóxicas combustíveis e não combustíveis das classes de armazenamento 6.1A e 6.1B. A substância não deve ser armazenada com substâncias com as quais possam ocorrer reações químicas perigosas. Ração com ureia pode ser armazenada junto com outras rações.</w:t>
            </w:r>
          </w:p>
        </w:tc>
      </w:tr>
    </w:tbl>
    <w:tbl>
      <w:tblPr>
        <w:tblW w:type="auto" w:w="0"/>
        <w:jc w:val="center"/>
        <w:tblLook w:firstColumn="1" w:firstRow="1" w:lastColumn="0" w:lastRow="0" w:noHBand="0" w:noVBand="1" w:val="04A0"/>
      </w:tblPr>
      <w:tblGrid>
        <w:gridCol w:w="6480"/>
        <w:gridCol w:w="4320"/>
      </w:tblGrid>
      <w:tr>
        <w:trPr>
          <w:trHeight w:hRule="exact" w:val="360"/>
        </w:trPr>
        <w:tc>
          <w:tcPr>
            <w:tcW w:type="dxa" w:w="8640"/>
            <w:gridSpan w:val="2"/>
            <w:tcBorders>
              <w:top w:val="single" w:sz="8" w:space="0" w:color="000000"/>
              <w:bottom w:val="single" w:sz="8" w:space="0" w:color="000000"/>
              <w:left w:val="nil"/>
              <w:right w:val="nil"/>
            </w:tcBorders>
          </w:tcPr>
          <w:p>
            <w:r>
              <w:rPr>
                <w:rFonts w:ascii="Arial" w:hAnsi="Arial"/>
                <w:b/>
                <w:sz w:val="28"/>
              </w:rPr>
              <w:t>8- CONTROLE DE EXPOSIÇÃO E PROTEÇÃO INDIVIDUAL</w:t>
            </w:r>
          </w:p>
        </w:tc>
      </w:tr>
    </w:tbl>
    <w:tbl>
      <w:tblPr>
        <w:tblW w:type="auto" w:w="0"/>
        <w:jc w:val="center"/>
        <w:tblLook w:firstColumn="1" w:firstRow="1" w:lastColumn="0" w:lastRow="0" w:noHBand="0" w:noVBand="1" w:val="04A0"/>
      </w:tblPr>
      <w:tblGrid>
        <w:gridCol w:w="3312"/>
        <w:gridCol w:w="7488"/>
      </w:tblGrid>
      <w:tr>
        <w:trPr>
          <w:trHeight w:hRule="exact" w:val="320"/>
        </w:trPr>
        <w:tc>
          <w:tcPr>
            <w:tcW w:type="dxa" w:w="8640"/>
            <w:gridSpan w:val="2"/>
          </w:tcPr>
          <w:p>
            <w:r>
              <w:rPr>
                <w:rFonts w:ascii="Arial" w:hAnsi="Arial"/>
                <w:b/>
                <w:sz w:val="24"/>
              </w:rPr>
              <w:t>Parâmetros de controle</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Limites de exposição ocupacional:</w:t>
            </w:r>
          </w:p>
        </w:tc>
        <w:tc>
          <w:tcPr>
            <w:tcW w:type="dxa" w:w="4320"/>
            <w:shd w:val="clear" w:color="auto" w:fill="d9d9d9"/>
          </w:tcPr>
          <w:p>
            <w:pPr>
              <w:jc w:val="center"/>
            </w:pPr>
            <w:r>
              <w:rPr>
                <w:rFonts w:ascii="Arial" w:hAnsi="Arial"/>
                <w:sz w:val="24"/>
              </w:rPr>
              <w:t>Não disponível</w:t>
            </w:r>
          </w:p>
        </w:tc>
      </w:tr>
    </w:tbl>
    <w:tbl>
      <w:tblPr>
        <w:tblW w:type="auto" w:w="0"/>
        <w:jc w:val="center"/>
        <w:tblLook w:firstColumn="1" w:firstRow="1" w:lastColumn="0" w:lastRow="0" w:noHBand="0" w:noVBand="1" w:val="04A0"/>
      </w:tblPr>
      <w:tblGrid>
        <w:gridCol w:w="3312"/>
        <w:gridCol w:w="7488"/>
      </w:tblGrid>
      <w:tr>
        <w:tc>
          <w:tcPr>
            <w:tcW w:type="dxa" w:w="4320"/>
          </w:tcPr>
          <w:p>
            <w:pPr>
              <w:jc w:val="center"/>
            </w:pPr>
            <w:r>
              <w:rPr>
                <w:rFonts w:ascii="Arial" w:hAnsi="Arial"/>
                <w:sz w:val="24"/>
              </w:rPr>
              <w:t>Indicadores biológicos:</w:t>
            </w:r>
          </w:p>
        </w:tc>
        <w:tc>
          <w:tcPr>
            <w:tcW w:type="dxa" w:w="4320"/>
          </w:tcPr>
          <w:p>
            <w:pPr>
              <w:jc w:val="center"/>
            </w:pPr>
            <w:r>
              <w:rPr>
                <w:rFonts w:ascii="Arial" w:hAnsi="Arial"/>
                <w:sz w:val="24"/>
              </w:rPr>
              <w:t>Não disponível.</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Outros limites e valores:</w:t>
            </w:r>
          </w:p>
        </w:tc>
        <w:tc>
          <w:tcPr>
            <w:tcW w:type="dxa" w:w="4320"/>
            <w:shd w:val="clear" w:color="auto" w:fill="d9d9d9"/>
          </w:tcPr>
          <w:p>
            <w:pPr>
              <w:jc w:val="center"/>
            </w:pPr>
            <w:r>
              <w:rPr>
                <w:rFonts w:ascii="Arial" w:hAnsi="Arial"/>
                <w:sz w:val="24"/>
              </w:rPr>
              <w:t>Não disponível.</w:t>
            </w:r>
          </w:p>
        </w:tc>
      </w:tr>
    </w:tbl>
    <w:tbl>
      <w:tblPr>
        <w:tblW w:type="auto" w:w="0"/>
        <w:jc w:val="center"/>
        <w:tblLook w:firstColumn="1" w:firstRow="1" w:lastColumn="0" w:lastRow="0" w:noHBand="0" w:noVBand="1" w:val="04A0"/>
      </w:tblPr>
      <w:tblGrid>
        <w:gridCol w:w="3312"/>
        <w:gridCol w:w="7488"/>
      </w:tblGrid>
      <w:tr>
        <w:tc>
          <w:tcPr>
            <w:tcW w:type="dxa" w:w="4320"/>
          </w:tcPr>
          <w:p>
            <w:pPr>
              <w:jc w:val="center"/>
            </w:pPr>
            <w:r>
              <w:rPr>
                <w:rFonts w:ascii="Arial" w:hAnsi="Arial"/>
                <w:sz w:val="24"/>
              </w:rPr>
              <w:t>Medidas de controle de engenharia:</w:t>
            </w:r>
          </w:p>
        </w:tc>
        <w:tc>
          <w:tcPr>
            <w:tcW w:type="dxa" w:w="4320"/>
          </w:tcPr>
          <w:p>
            <w:pPr>
              <w:jc w:val="center"/>
            </w:pPr>
            <w:r>
              <w:rPr>
                <w:rFonts w:ascii="Arial" w:hAnsi="Arial"/>
                <w:sz w:val="24"/>
              </w:rPr>
              <w:t>Recomenda-se o uso de ventilação adequada para manter as concentrações de vapores, névoas ou poeiras abaixo dos limites de exposição ocupacional. Sempre que possível, utilize sistemas de exaustão local e ventilação geral para reduzir a exposição no ambiente de trabalho.</w:t>
              <w:br/>
              <w:t>Instalações de lavagem de olhos e chuveiros de emergência devem estar disponíveis próximas às áreas de manuseio do produto.</w:t>
              <w:br/>
              <w:t>Assegurar que os procedimentos de higiene e segurança sejam seguidos, evitando contato direto com a substância e prevenindo a inalação de partículas, vapores ou gases liberados durante o uso.</w:t>
            </w:r>
          </w:p>
        </w:tc>
      </w:tr>
    </w:tbl>
    <w:tbl>
      <w:tblPr>
        <w:tblW w:type="auto" w:w="0"/>
        <w:jc w:val="center"/>
        <w:tblLook w:firstColumn="1" w:firstRow="1" w:lastColumn="0" w:lastRow="0" w:noHBand="0" w:noVBand="1" w:val="04A0"/>
      </w:tblPr>
      <w:tblGrid>
        <w:gridCol w:w="3312"/>
        <w:gridCol w:w="7488"/>
      </w:tblGrid>
      <w:tr>
        <w:trPr>
          <w:trHeight w:hRule="exact" w:val="320"/>
        </w:trPr>
        <w:tc>
          <w:tcPr>
            <w:tcW w:type="dxa" w:w="8640"/>
            <w:gridSpan w:val="2"/>
          </w:tcPr>
          <w:p>
            <w:r>
              <w:rPr>
                <w:rFonts w:ascii="Arial" w:hAnsi="Arial"/>
                <w:b/>
                <w:sz w:val="24"/>
              </w:rPr>
              <w:t>Medidas de proteção pessoal</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Proteção dos olhos/face:</w:t>
            </w:r>
          </w:p>
        </w:tc>
        <w:tc>
          <w:tcPr>
            <w:tcW w:type="dxa" w:w="4320"/>
            <w:shd w:val="clear" w:color="auto" w:fill="d9d9d9"/>
          </w:tcPr>
          <w:p>
            <w:pPr>
              <w:jc w:val="center"/>
            </w:pPr>
            <w:r>
              <w:rPr>
                <w:rFonts w:ascii="Arial" w:hAnsi="Arial"/>
                <w:sz w:val="24"/>
              </w:rPr>
              <w:t>Use óculos com proteção lateral.</w:t>
            </w:r>
          </w:p>
        </w:tc>
      </w:tr>
    </w:tbl>
    <w:tbl>
      <w:tblPr>
        <w:tblW w:type="auto" w:w="0"/>
        <w:jc w:val="center"/>
        <w:tblLook w:firstColumn="1" w:firstRow="1" w:lastColumn="0" w:lastRow="0" w:noHBand="0" w:noVBand="1" w:val="04A0"/>
      </w:tblPr>
      <w:tblGrid>
        <w:gridCol w:w="3312"/>
        <w:gridCol w:w="7488"/>
      </w:tblGrid>
      <w:tr>
        <w:tc>
          <w:tcPr>
            <w:tcW w:type="dxa" w:w="4320"/>
          </w:tcPr>
          <w:p>
            <w:pPr>
              <w:jc w:val="center"/>
            </w:pPr>
            <w:r>
              <w:rPr>
                <w:rFonts w:ascii="Arial" w:hAnsi="Arial"/>
                <w:sz w:val="24"/>
              </w:rPr>
              <w:t>Proteção da pele e do corpo:</w:t>
            </w:r>
          </w:p>
        </w:tc>
        <w:tc>
          <w:tcPr>
            <w:tcW w:type="dxa" w:w="4320"/>
          </w:tcPr>
          <w:p>
            <w:pPr>
              <w:jc w:val="center"/>
            </w:pPr>
            <w:r>
              <w:rPr>
                <w:rFonts w:ascii="Arial" w:hAnsi="Arial"/>
                <w:sz w:val="24"/>
              </w:rPr>
              <w:t>Use um avental ou um jaleco.</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Proteção respiratória:</w:t>
            </w:r>
          </w:p>
        </w:tc>
        <w:tc>
          <w:tcPr>
            <w:tcW w:type="dxa" w:w="4320"/>
            <w:shd w:val="clear" w:color="auto" w:fill="d9d9d9"/>
          </w:tcPr>
          <w:p>
            <w:pPr>
              <w:jc w:val="center"/>
            </w:pPr>
            <w:r>
              <w:rPr>
                <w:rFonts w:ascii="Arial" w:hAnsi="Arial"/>
                <w:sz w:val="24"/>
              </w:rPr>
              <w:t>Em caso de emergência (por exemplo: liberação involuntária da substância), deve-se usar proteção respiratória. Considere o período máximo de uso. Proteção respiratória: filtro de partículas P1, código de cor branco.</w:t>
            </w:r>
          </w:p>
        </w:tc>
      </w:tr>
    </w:tbl>
    <w:tbl>
      <w:tblPr>
        <w:tblW w:type="auto" w:w="0"/>
        <w:jc w:val="center"/>
        <w:tblLook w:firstColumn="1" w:firstRow="1" w:lastColumn="0" w:lastRow="0" w:noHBand="0" w:noVBand="1" w:val="04A0"/>
      </w:tblPr>
      <w:tblGrid>
        <w:gridCol w:w="3312"/>
        <w:gridCol w:w="7488"/>
      </w:tblGrid>
      <w:tr>
        <w:tc>
          <w:tcPr>
            <w:tcW w:type="dxa" w:w="4320"/>
          </w:tcPr>
          <w:p>
            <w:pPr>
              <w:jc w:val="center"/>
            </w:pPr>
            <w:r>
              <w:rPr>
                <w:rFonts w:ascii="Arial" w:hAnsi="Arial"/>
                <w:sz w:val="24"/>
              </w:rPr>
              <w:t>Perigos térmicos:</w:t>
            </w:r>
          </w:p>
        </w:tc>
        <w:tc>
          <w:tcPr>
            <w:tcW w:type="dxa" w:w="4320"/>
          </w:tcPr>
          <w:p>
            <w:pPr>
              <w:jc w:val="center"/>
            </w:pPr>
            <w:r>
              <w:rPr>
                <w:rFonts w:ascii="Arial" w:hAnsi="Arial"/>
                <w:sz w:val="24"/>
              </w:rPr>
              <w:t>Evitar a exposição do produto a fontes de calor, superfícies aquecidas, faíscas ou chamas abertas. O contato com temperaturas elevadas pode provocar decomposição, alteração das propriedades químicas ou liberação de vapores/gases perigosos. Adotar medidas de prevenção para reduzir riscos de queimaduras e acidentes térmicos durante o manuseio, armazenamento e transporte.</w:t>
            </w:r>
          </w:p>
        </w:tc>
      </w:tr>
    </w:tbl>
    <w:tbl>
      <w:tblPr>
        <w:tblW w:type="auto" w:w="0"/>
        <w:jc w:val="center"/>
        <w:tblLook w:firstColumn="1" w:firstRow="1" w:lastColumn="0" w:lastRow="0" w:noHBand="0" w:noVBand="1" w:val="04A0"/>
      </w:tblPr>
      <w:tblGrid>
        <w:gridCol w:w="6480"/>
        <w:gridCol w:w="4320"/>
      </w:tblGrid>
      <w:tr>
        <w:trPr>
          <w:trHeight w:hRule="exact" w:val="360"/>
        </w:trPr>
        <w:tc>
          <w:tcPr>
            <w:tcW w:type="dxa" w:w="8640"/>
            <w:gridSpan w:val="2"/>
            <w:tcBorders>
              <w:top w:val="single" w:sz="8" w:space="0" w:color="000000"/>
              <w:bottom w:val="single" w:sz="8" w:space="0" w:color="000000"/>
              <w:left w:val="nil"/>
              <w:right w:val="nil"/>
            </w:tcBorders>
          </w:tcPr>
          <w:p>
            <w:r>
              <w:rPr>
                <w:rFonts w:ascii="Arial" w:hAnsi="Arial"/>
                <w:b/>
                <w:sz w:val="28"/>
              </w:rPr>
              <w:t>9- PROPRIEDADES FÍSICAS E QUÍMICAS</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left"/>
            </w:pPr>
            <w:r>
              <w:rPr>
                <w:rFonts w:ascii="Arial" w:hAnsi="Arial"/>
                <w:sz w:val="24"/>
              </w:rPr>
              <w:t>Estado físico:</w:t>
            </w:r>
          </w:p>
        </w:tc>
        <w:tc>
          <w:tcPr>
            <w:tcW w:type="dxa" w:w="4320"/>
            <w:shd w:val="clear" w:color="auto" w:fill="d9d9d9"/>
          </w:tcPr>
          <w:p>
            <w:pPr>
              <w:jc w:val="left"/>
            </w:pPr>
            <w:r>
              <w:rPr>
                <w:rFonts w:ascii="Arial" w:hAnsi="Arial"/>
                <w:sz w:val="24"/>
              </w:rPr>
              <w:t>sólido</w:t>
            </w:r>
          </w:p>
        </w:tc>
      </w:tr>
    </w:tbl>
    <w:tbl>
      <w:tblPr>
        <w:tblW w:type="auto" w:w="0"/>
        <w:jc w:val="center"/>
        <w:tblLook w:firstColumn="1" w:firstRow="1" w:lastColumn="0" w:lastRow="0" w:noHBand="0" w:noVBand="1" w:val="04A0"/>
      </w:tblPr>
      <w:tblGrid>
        <w:gridCol w:w="3312"/>
        <w:gridCol w:w="7488"/>
      </w:tblGrid>
      <w:tr>
        <w:tc>
          <w:tcPr>
            <w:tcW w:type="dxa" w:w="4320"/>
          </w:tcPr>
          <w:p>
            <w:pPr>
              <w:jc w:val="left"/>
            </w:pPr>
            <w:r>
              <w:rPr>
                <w:rFonts w:ascii="Arial" w:hAnsi="Arial"/>
                <w:sz w:val="24"/>
              </w:rPr>
              <w:t>Cor:</w:t>
            </w:r>
          </w:p>
        </w:tc>
        <w:tc>
          <w:tcPr>
            <w:tcW w:type="dxa" w:w="4320"/>
          </w:tcPr>
          <w:p>
            <w:pPr>
              <w:jc w:val="left"/>
            </w:pPr>
            <w:r>
              <w:rPr>
                <w:rFonts w:ascii="Arial" w:hAnsi="Arial"/>
                <w:sz w:val="24"/>
              </w:rPr>
              <w:t>branco</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left"/>
            </w:pPr>
            <w:r>
              <w:rPr>
                <w:rFonts w:ascii="Arial" w:hAnsi="Arial"/>
                <w:sz w:val="24"/>
              </w:rPr>
              <w:t>Odor e limite de odor:</w:t>
            </w:r>
          </w:p>
        </w:tc>
        <w:tc>
          <w:tcPr>
            <w:tcW w:type="dxa" w:w="4320"/>
            <w:shd w:val="clear" w:color="auto" w:fill="d9d9d9"/>
          </w:tcPr>
          <w:p>
            <w:pPr>
              <w:jc w:val="left"/>
            </w:pPr>
            <w:r>
              <w:rPr>
                <w:rFonts w:ascii="Arial" w:hAnsi="Arial"/>
                <w:sz w:val="24"/>
              </w:rPr>
              <w:t>Não disponível</w:t>
            </w:r>
          </w:p>
        </w:tc>
      </w:tr>
    </w:tbl>
    <w:tbl>
      <w:tblPr>
        <w:tblW w:type="auto" w:w="0"/>
        <w:jc w:val="center"/>
        <w:tblLook w:firstColumn="1" w:firstRow="1" w:lastColumn="0" w:lastRow="0" w:noHBand="0" w:noVBand="1" w:val="04A0"/>
      </w:tblPr>
      <w:tblGrid>
        <w:gridCol w:w="3312"/>
        <w:gridCol w:w="7488"/>
      </w:tblGrid>
      <w:tr>
        <w:tc>
          <w:tcPr>
            <w:tcW w:type="dxa" w:w="4320"/>
          </w:tcPr>
          <w:p>
            <w:pPr>
              <w:jc w:val="left"/>
            </w:pPr>
            <w:r>
              <w:rPr>
                <w:rFonts w:ascii="Arial" w:hAnsi="Arial"/>
                <w:sz w:val="24"/>
              </w:rPr>
              <w:t>Ponto de fusão/ponto de congelamento:</w:t>
            </w:r>
          </w:p>
        </w:tc>
        <w:tc>
          <w:tcPr>
            <w:tcW w:type="dxa" w:w="4320"/>
          </w:tcPr>
          <w:p>
            <w:pPr>
              <w:jc w:val="left"/>
            </w:pPr>
            <w:r>
              <w:rPr>
                <w:rFonts w:ascii="Arial" w:hAnsi="Arial"/>
                <w:sz w:val="24"/>
              </w:rPr>
              <w:t>133,0 °C</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left"/>
            </w:pPr>
            <w:r>
              <w:rPr>
                <w:rFonts w:ascii="Arial" w:hAnsi="Arial"/>
                <w:sz w:val="24"/>
              </w:rPr>
              <w:t>Ponto de ebulição ou ponto de ebulição inicial e faixa de ebulição:</w:t>
            </w:r>
          </w:p>
        </w:tc>
        <w:tc>
          <w:tcPr>
            <w:tcW w:type="dxa" w:w="4320"/>
            <w:shd w:val="clear" w:color="auto" w:fill="d9d9d9"/>
          </w:tcPr>
          <w:p>
            <w:pPr>
              <w:jc w:val="left"/>
            </w:pPr>
            <w:r>
              <w:rPr>
                <w:rFonts w:ascii="Arial" w:hAnsi="Arial"/>
                <w:sz w:val="24"/>
              </w:rPr>
              <w:t>Não disponível</w:t>
            </w:r>
          </w:p>
        </w:tc>
      </w:tr>
    </w:tbl>
    <w:tbl>
      <w:tblPr>
        <w:tblW w:type="auto" w:w="0"/>
        <w:jc w:val="center"/>
        <w:tblLook w:firstColumn="1" w:firstRow="1" w:lastColumn="0" w:lastRow="0" w:noHBand="0" w:noVBand="1" w:val="04A0"/>
      </w:tblPr>
      <w:tblGrid>
        <w:gridCol w:w="3312"/>
        <w:gridCol w:w="7488"/>
      </w:tblGrid>
      <w:tr>
        <w:tc>
          <w:tcPr>
            <w:tcW w:type="dxa" w:w="4320"/>
          </w:tcPr>
          <w:p>
            <w:pPr>
              <w:jc w:val="left"/>
            </w:pPr>
            <w:r>
              <w:rPr>
                <w:rFonts w:ascii="Arial" w:hAnsi="Arial"/>
                <w:sz w:val="24"/>
              </w:rPr>
              <w:t>Inflamabilidade (sólido; líquidos e gás):</w:t>
            </w:r>
          </w:p>
        </w:tc>
        <w:tc>
          <w:tcPr>
            <w:tcW w:type="dxa" w:w="4320"/>
          </w:tcPr>
          <w:p>
            <w:pPr>
              <w:jc w:val="left"/>
            </w:pPr>
            <w:r>
              <w:rPr>
                <w:rFonts w:ascii="Arial" w:hAnsi="Arial"/>
                <w:sz w:val="24"/>
              </w:rPr>
              <w:t>Não inflamável</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left"/>
            </w:pPr>
            <w:r>
              <w:rPr>
                <w:rFonts w:ascii="Arial" w:hAnsi="Arial"/>
                <w:sz w:val="24"/>
              </w:rPr>
              <w:t>Limite inferior/superior de inflamabilidade ou explosividade:</w:t>
            </w:r>
          </w:p>
        </w:tc>
        <w:tc>
          <w:tcPr>
            <w:tcW w:type="dxa" w:w="4320"/>
            <w:shd w:val="clear" w:color="auto" w:fill="d9d9d9"/>
          </w:tcPr>
          <w:p>
            <w:pPr>
              <w:jc w:val="left"/>
            </w:pPr>
            <w:r>
              <w:rPr>
                <w:rFonts w:ascii="Arial" w:hAnsi="Arial"/>
                <w:sz w:val="24"/>
              </w:rPr>
              <w:t>Não disponível</w:t>
            </w:r>
          </w:p>
        </w:tc>
      </w:tr>
    </w:tbl>
    <w:tbl>
      <w:tblPr>
        <w:tblW w:type="auto" w:w="0"/>
        <w:jc w:val="center"/>
        <w:tblLook w:firstColumn="1" w:firstRow="1" w:lastColumn="0" w:lastRow="0" w:noHBand="0" w:noVBand="1" w:val="04A0"/>
      </w:tblPr>
      <w:tblGrid>
        <w:gridCol w:w="3312"/>
        <w:gridCol w:w="7488"/>
      </w:tblGrid>
      <w:tr>
        <w:tc>
          <w:tcPr>
            <w:tcW w:type="dxa" w:w="4320"/>
          </w:tcPr>
          <w:p>
            <w:pPr>
              <w:jc w:val="left"/>
            </w:pPr>
            <w:r>
              <w:rPr>
                <w:rFonts w:ascii="Arial" w:hAnsi="Arial"/>
                <w:sz w:val="24"/>
              </w:rPr>
              <w:t>Ponto de fulgor:</w:t>
            </w:r>
          </w:p>
        </w:tc>
        <w:tc>
          <w:tcPr>
            <w:tcW w:type="dxa" w:w="4320"/>
          </w:tcPr>
          <w:p>
            <w:pPr>
              <w:jc w:val="left"/>
            </w:pPr>
            <w:r>
              <w:rPr>
                <w:rFonts w:ascii="Arial" w:hAnsi="Arial"/>
                <w:sz w:val="24"/>
              </w:rPr>
              <w:t>Não disponível</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left"/>
            </w:pPr>
            <w:r>
              <w:rPr>
                <w:rFonts w:ascii="Arial" w:hAnsi="Arial"/>
                <w:sz w:val="24"/>
              </w:rPr>
              <w:t>Temperatura de autoignição:</w:t>
            </w:r>
          </w:p>
        </w:tc>
        <w:tc>
          <w:tcPr>
            <w:tcW w:type="dxa" w:w="4320"/>
            <w:shd w:val="clear" w:color="auto" w:fill="d9d9d9"/>
          </w:tcPr>
          <w:p>
            <w:pPr>
              <w:jc w:val="left"/>
            </w:pPr>
            <w:r>
              <w:rPr>
                <w:rFonts w:ascii="Arial" w:hAnsi="Arial"/>
                <w:sz w:val="24"/>
              </w:rPr>
              <w:t>Não disponível</w:t>
            </w:r>
          </w:p>
        </w:tc>
      </w:tr>
    </w:tbl>
    <w:tbl>
      <w:tblPr>
        <w:tblW w:type="auto" w:w="0"/>
        <w:jc w:val="center"/>
        <w:tblLook w:firstColumn="1" w:firstRow="1" w:lastColumn="0" w:lastRow="0" w:noHBand="0" w:noVBand="1" w:val="04A0"/>
      </w:tblPr>
      <w:tblGrid>
        <w:gridCol w:w="3312"/>
        <w:gridCol w:w="7488"/>
      </w:tblGrid>
      <w:tr>
        <w:tc>
          <w:tcPr>
            <w:tcW w:type="dxa" w:w="4320"/>
          </w:tcPr>
          <w:p>
            <w:pPr>
              <w:jc w:val="left"/>
            </w:pPr>
            <w:r>
              <w:rPr>
                <w:rFonts w:ascii="Arial" w:hAnsi="Arial"/>
                <w:sz w:val="24"/>
              </w:rPr>
              <w:t>Temperatura de decomposição:</w:t>
            </w:r>
          </w:p>
        </w:tc>
        <w:tc>
          <w:tcPr>
            <w:tcW w:type="dxa" w:w="4320"/>
          </w:tcPr>
          <w:p>
            <w:pPr>
              <w:jc w:val="left"/>
            </w:pPr>
            <w:r>
              <w:rPr>
                <w:rFonts w:ascii="Arial" w:hAnsi="Arial"/>
                <w:sz w:val="24"/>
              </w:rPr>
              <w:t>&gt; 132 °C</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left"/>
            </w:pPr>
            <w:r>
              <w:rPr>
                <w:rFonts w:ascii="Arial" w:hAnsi="Arial"/>
                <w:sz w:val="24"/>
              </w:rPr>
              <w:t>pH:</w:t>
            </w:r>
          </w:p>
        </w:tc>
        <w:tc>
          <w:tcPr>
            <w:tcW w:type="dxa" w:w="4320"/>
            <w:shd w:val="clear" w:color="auto" w:fill="d9d9d9"/>
          </w:tcPr>
          <w:p>
            <w:pPr>
              <w:jc w:val="left"/>
            </w:pPr>
            <w:r>
              <w:rPr>
                <w:rFonts w:ascii="Arial" w:hAnsi="Arial"/>
                <w:sz w:val="24"/>
              </w:rPr>
              <w:t>9</w:t>
            </w:r>
          </w:p>
        </w:tc>
      </w:tr>
    </w:tbl>
    <w:tbl>
      <w:tblPr>
        <w:tblW w:type="auto" w:w="0"/>
        <w:jc w:val="center"/>
        <w:tblLook w:firstColumn="1" w:firstRow="1" w:lastColumn="0" w:lastRow="0" w:noHBand="0" w:noVBand="1" w:val="04A0"/>
      </w:tblPr>
      <w:tblGrid>
        <w:gridCol w:w="3312"/>
        <w:gridCol w:w="7488"/>
      </w:tblGrid>
      <w:tr>
        <w:tc>
          <w:tcPr>
            <w:tcW w:type="dxa" w:w="4320"/>
          </w:tcPr>
          <w:p>
            <w:pPr>
              <w:jc w:val="left"/>
            </w:pPr>
            <w:r>
              <w:rPr>
                <w:rFonts w:ascii="Arial" w:hAnsi="Arial"/>
                <w:sz w:val="24"/>
              </w:rPr>
              <w:t>Viscosidade cinemática:</w:t>
            </w:r>
          </w:p>
        </w:tc>
        <w:tc>
          <w:tcPr>
            <w:tcW w:type="dxa" w:w="4320"/>
          </w:tcPr>
          <w:p>
            <w:pPr>
              <w:jc w:val="left"/>
            </w:pPr>
            <w:r>
              <w:rPr>
                <w:rFonts w:ascii="Arial" w:hAnsi="Arial"/>
                <w:sz w:val="24"/>
              </w:rPr>
              <w:t>Não disponível</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left"/>
            </w:pPr>
            <w:r>
              <w:rPr>
                <w:rFonts w:ascii="Arial" w:hAnsi="Arial"/>
                <w:sz w:val="24"/>
              </w:rPr>
              <w:t>Solubilidade:</w:t>
            </w:r>
          </w:p>
        </w:tc>
        <w:tc>
          <w:tcPr>
            <w:tcW w:type="dxa" w:w="4320"/>
            <w:shd w:val="clear" w:color="auto" w:fill="d9d9d9"/>
          </w:tcPr>
          <w:p>
            <w:pPr>
              <w:jc w:val="left"/>
            </w:pPr>
            <w:r>
              <w:rPr>
                <w:rFonts w:ascii="Arial" w:hAnsi="Arial"/>
                <w:sz w:val="24"/>
              </w:rPr>
              <w:t>Não disponível</w:t>
            </w:r>
          </w:p>
        </w:tc>
      </w:tr>
    </w:tbl>
    <w:tbl>
      <w:tblPr>
        <w:tblW w:type="auto" w:w="0"/>
        <w:jc w:val="center"/>
        <w:tblLook w:firstColumn="1" w:firstRow="1" w:lastColumn="0" w:lastRow="0" w:noHBand="0" w:noVBand="1" w:val="04A0"/>
      </w:tblPr>
      <w:tblGrid>
        <w:gridCol w:w="3312"/>
        <w:gridCol w:w="7488"/>
      </w:tblGrid>
      <w:tr>
        <w:tc>
          <w:tcPr>
            <w:tcW w:type="dxa" w:w="4320"/>
          </w:tcPr>
          <w:p>
            <w:pPr>
              <w:jc w:val="left"/>
            </w:pPr>
            <w:r>
              <w:rPr>
                <w:rFonts w:ascii="Arial" w:hAnsi="Arial"/>
                <w:sz w:val="24"/>
              </w:rPr>
              <w:t>Coeficiente de partição - noctanol/água:</w:t>
            </w:r>
          </w:p>
        </w:tc>
        <w:tc>
          <w:tcPr>
            <w:tcW w:type="dxa" w:w="4320"/>
          </w:tcPr>
          <w:p>
            <w:pPr>
              <w:jc w:val="left"/>
            </w:pPr>
            <w:r>
              <w:rPr>
                <w:rFonts w:ascii="Arial" w:hAnsi="Arial"/>
                <w:sz w:val="24"/>
              </w:rPr>
              <w:t>-2,11</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left"/>
            </w:pPr>
            <w:r>
              <w:rPr>
                <w:rFonts w:ascii="Arial" w:hAnsi="Arial"/>
                <w:sz w:val="24"/>
              </w:rPr>
              <w:t>Pressão de vapor:</w:t>
            </w:r>
          </w:p>
        </w:tc>
        <w:tc>
          <w:tcPr>
            <w:tcW w:type="dxa" w:w="4320"/>
            <w:shd w:val="clear" w:color="auto" w:fill="d9d9d9"/>
          </w:tcPr>
          <w:p>
            <w:pPr>
              <w:jc w:val="left"/>
            </w:pPr>
            <w:r>
              <w:rPr>
                <w:rFonts w:ascii="Arial" w:hAnsi="Arial"/>
                <w:sz w:val="24"/>
              </w:rPr>
              <w:t>Não disponível</w:t>
            </w:r>
          </w:p>
        </w:tc>
      </w:tr>
    </w:tbl>
    <w:tbl>
      <w:tblPr>
        <w:tblW w:type="auto" w:w="0"/>
        <w:jc w:val="center"/>
        <w:tblLook w:firstColumn="1" w:firstRow="1" w:lastColumn="0" w:lastRow="0" w:noHBand="0" w:noVBand="1" w:val="04A0"/>
      </w:tblPr>
      <w:tblGrid>
        <w:gridCol w:w="3312"/>
        <w:gridCol w:w="7488"/>
      </w:tblGrid>
      <w:tr>
        <w:tc>
          <w:tcPr>
            <w:tcW w:type="dxa" w:w="4320"/>
          </w:tcPr>
          <w:p>
            <w:pPr>
              <w:jc w:val="left"/>
            </w:pPr>
            <w:r>
              <w:rPr>
                <w:rFonts w:ascii="Arial" w:hAnsi="Arial"/>
                <w:sz w:val="24"/>
              </w:rPr>
              <w:t>Densidade relativa:</w:t>
            </w:r>
          </w:p>
        </w:tc>
        <w:tc>
          <w:tcPr>
            <w:tcW w:type="dxa" w:w="4320"/>
          </w:tcPr>
          <w:p>
            <w:pPr>
              <w:jc w:val="left"/>
            </w:pPr>
            <w:r>
              <w:rPr>
                <w:rFonts w:ascii="Arial" w:hAnsi="Arial"/>
                <w:sz w:val="24"/>
              </w:rPr>
              <w:t>Não disponível</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left"/>
            </w:pPr>
            <w:r>
              <w:rPr>
                <w:rFonts w:ascii="Arial" w:hAnsi="Arial"/>
                <w:sz w:val="24"/>
              </w:rPr>
              <w:t>Densidade de vapor relativa:</w:t>
            </w:r>
          </w:p>
        </w:tc>
        <w:tc>
          <w:tcPr>
            <w:tcW w:type="dxa" w:w="4320"/>
            <w:shd w:val="clear" w:color="auto" w:fill="d9d9d9"/>
          </w:tcPr>
          <w:p>
            <w:pPr>
              <w:jc w:val="left"/>
            </w:pPr>
            <w:r>
              <w:rPr>
                <w:rFonts w:ascii="Arial" w:hAnsi="Arial"/>
                <w:sz w:val="24"/>
              </w:rPr>
              <w:t>Não disponível</w:t>
            </w:r>
          </w:p>
        </w:tc>
      </w:tr>
    </w:tbl>
    <w:tbl>
      <w:tblPr>
        <w:tblW w:type="auto" w:w="0"/>
        <w:jc w:val="center"/>
        <w:tblLook w:firstColumn="1" w:firstRow="1" w:lastColumn="0" w:lastRow="0" w:noHBand="0" w:noVBand="1" w:val="04A0"/>
      </w:tblPr>
      <w:tblGrid>
        <w:gridCol w:w="3312"/>
        <w:gridCol w:w="7488"/>
      </w:tblGrid>
      <w:tr>
        <w:tc>
          <w:tcPr>
            <w:tcW w:type="dxa" w:w="4320"/>
          </w:tcPr>
          <w:p>
            <w:pPr>
              <w:jc w:val="left"/>
            </w:pPr>
            <w:r>
              <w:rPr>
                <w:rFonts w:ascii="Arial" w:hAnsi="Arial"/>
                <w:sz w:val="24"/>
              </w:rPr>
              <w:t>Características das partículas (sólidos):</w:t>
            </w:r>
          </w:p>
        </w:tc>
        <w:tc>
          <w:tcPr>
            <w:tcW w:type="dxa" w:w="4320"/>
          </w:tcPr>
          <w:p>
            <w:pPr>
              <w:jc w:val="left"/>
            </w:pPr>
            <w:r>
              <w:rPr>
                <w:rFonts w:ascii="Arial" w:hAnsi="Arial"/>
                <w:sz w:val="24"/>
              </w:rPr>
              <w:t>Não disponível</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left"/>
            </w:pPr>
            <w:r>
              <w:rPr>
                <w:rFonts w:ascii="Arial" w:hAnsi="Arial"/>
                <w:sz w:val="24"/>
              </w:rPr>
              <w:t>Outras informações:</w:t>
            </w:r>
          </w:p>
        </w:tc>
        <w:tc>
          <w:tcPr>
            <w:tcW w:type="dxa" w:w="4320"/>
            <w:shd w:val="clear" w:color="auto" w:fill="d9d9d9"/>
          </w:tcPr>
          <w:p>
            <w:pPr>
              <w:jc w:val="left"/>
            </w:pPr>
            <w:r>
              <w:rPr>
                <w:rFonts w:ascii="Arial" w:hAnsi="Arial"/>
                <w:sz w:val="24"/>
              </w:rPr>
              <w:t xml:space="preserve">EXPLOSIVIDADE DO PÓ  </w:t>
              <w:br/>
              <w:t xml:space="preserve">Existe risco de explosão de poeira se as seguintes condições forem atendidas:  </w:t>
              <w:br/>
              <w:t xml:space="preserve">- A substância estiver em forma muito finamente distribuída (pó, poeira).  </w:t>
              <w:br/>
              <w:t xml:space="preserve">- A substância for suspensa em quantidade suficiente no ar.  </w:t>
              <w:br/>
              <w:t xml:space="preserve">- Houver uma fonte de ignição presente (chama, faísca, descarga eletrostática, etc.).  </w:t>
              <w:br/>
              <w:t>Fonte: 01211 06806</w:t>
              <w:br/>
              <w:br/>
              <w:t xml:space="preserve">REAÇÕES PERIGOSAS  </w:t>
              <w:br/>
              <w:t xml:space="preserve">Temperatura de decomposição: &gt; 132 °C  </w:t>
              <w:br/>
              <w:t xml:space="preserve">Produtos de decomposição:  </w:t>
              <w:br/>
              <w:t xml:space="preserve">- Amônia  </w:t>
              <w:br/>
              <w:t xml:space="preserve">- Ácido isociânico  </w:t>
              <w:br/>
              <w:br/>
              <w:t xml:space="preserve">Reações químicas perigosas  </w:t>
              <w:br/>
              <w:t xml:space="preserve">Risco de explosão em contato com:  </w:t>
              <w:br/>
              <w:t xml:space="preserve">- Cloro  </w:t>
              <w:br/>
              <w:t xml:space="preserve">- Nitrato de amônio  </w:t>
              <w:br/>
              <w:t xml:space="preserve">- Hipoclorito de cálcio  </w:t>
              <w:br/>
              <w:t xml:space="preserve">- Agentes de cloração  </w:t>
              <w:br/>
              <w:t xml:space="preserve">- Cloreto de cromila  </w:t>
              <w:br/>
              <w:t xml:space="preserve">- Hexanitroetano  </w:t>
              <w:br/>
              <w:t xml:space="preserve">- Hipoclorito de sódio  </w:t>
              <w:br/>
              <w:t xml:space="preserve">- Nitrito de sódio  </w:t>
              <w:br/>
              <w:t xml:space="preserve">- Perclorato de sódio  </w:t>
              <w:br/>
              <w:t xml:space="preserve">- Perclorato de nitrosila  </w:t>
              <w:br/>
              <w:t xml:space="preserve">- Pentacloreto de fósforo  </w:t>
              <w:br/>
              <w:br/>
              <w:t xml:space="preserve">A substância pode reagir perigosamente com:  </w:t>
              <w:br/>
              <w:t xml:space="preserve">- Flúor  </w:t>
              <w:br/>
              <w:t xml:space="preserve">- Agentes oxidantes fortes  </w:t>
              <w:br/>
              <w:t xml:space="preserve">- Peróxido de hidrogênio  </w:t>
              <w:br/>
              <w:t xml:space="preserve">- Cloritos alcalinos  </w:t>
              <w:br/>
              <w:t xml:space="preserve">- Cromatos alcalinos  </w:t>
              <w:br/>
              <w:t xml:space="preserve">- Alcalis  </w:t>
              <w:br/>
              <w:t xml:space="preserve">- Nitratos alcalinos  </w:t>
              <w:br/>
              <w:t xml:space="preserve">- Percloratos  </w:t>
              <w:br/>
              <w:t>- Tetracloreto de titânio</w:t>
              <w:br/>
              <w:br/>
              <w:t xml:space="preserve">PONTO DE EBULIÇÃO  </w:t>
              <w:br/>
              <w:t xml:space="preserve">A substância se decompõe quando aquecida (ver temperatura de decomposição).  </w:t>
              <w:br/>
              <w:t>Referência: 01211</w:t>
              <w:br/>
              <w:br/>
              <w:t xml:space="preserve">CARACTERIZAÇÃO QUÍMICA  </w:t>
              <w:br/>
              <w:t xml:space="preserve">Substância não inflamável.  </w:t>
              <w:br/>
              <w:t xml:space="preserve">Acima de 130 °C, a ureia se decompõe em amônia e ácido isociânico.  </w:t>
              <w:br/>
              <w:t>Solúvel livremente em água. Higroscópica.</w:t>
            </w:r>
          </w:p>
        </w:tc>
      </w:tr>
    </w:tbl>
    <w:tbl>
      <w:tblPr>
        <w:tblW w:type="auto" w:w="0"/>
        <w:jc w:val="center"/>
        <w:tblLook w:firstColumn="1" w:firstRow="1" w:lastColumn="0" w:lastRow="0" w:noHBand="0" w:noVBand="1" w:val="04A0"/>
      </w:tblPr>
      <w:tblGrid>
        <w:gridCol w:w="6480"/>
        <w:gridCol w:w="4320"/>
      </w:tblGrid>
      <w:tr>
        <w:trPr>
          <w:trHeight w:hRule="exact" w:val="360"/>
        </w:trPr>
        <w:tc>
          <w:tcPr>
            <w:tcW w:type="dxa" w:w="8640"/>
            <w:gridSpan w:val="2"/>
            <w:tcBorders>
              <w:top w:val="single" w:sz="8" w:space="0" w:color="000000"/>
              <w:bottom w:val="single" w:sz="8" w:space="0" w:color="000000"/>
              <w:left w:val="nil"/>
              <w:right w:val="nil"/>
            </w:tcBorders>
          </w:tcPr>
          <w:p>
            <w:r>
              <w:rPr>
                <w:rFonts w:ascii="Arial" w:hAnsi="Arial"/>
                <w:b/>
                <w:sz w:val="28"/>
              </w:rPr>
              <w:t>10 - ESTABILIDADE E REATIVIDADE</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Estabilidade:</w:t>
            </w:r>
          </w:p>
        </w:tc>
        <w:tc>
          <w:tcPr>
            <w:tcW w:type="dxa" w:w="4320"/>
            <w:shd w:val="clear" w:color="auto" w:fill="d9d9d9"/>
          </w:tcPr>
          <w:p>
            <w:pPr>
              <w:jc w:val="center"/>
            </w:pPr>
            <w:r>
              <w:rPr>
                <w:rFonts w:ascii="Arial" w:hAnsi="Arial"/>
                <w:sz w:val="24"/>
              </w:rPr>
              <w:t>Produto estável em condições normais de temperatura e pressão.</w:t>
            </w:r>
          </w:p>
        </w:tc>
      </w:tr>
    </w:tbl>
    <w:tbl>
      <w:tblPr>
        <w:tblW w:type="auto" w:w="0"/>
        <w:jc w:val="center"/>
        <w:tblLook w:firstColumn="1" w:firstRow="1" w:lastColumn="0" w:lastRow="0" w:noHBand="0" w:noVBand="1" w:val="04A0"/>
      </w:tblPr>
      <w:tblGrid>
        <w:gridCol w:w="3312"/>
        <w:gridCol w:w="7488"/>
      </w:tblGrid>
      <w:tr>
        <w:tc>
          <w:tcPr>
            <w:tcW w:type="dxa" w:w="4320"/>
          </w:tcPr>
          <w:p>
            <w:pPr>
              <w:jc w:val="center"/>
            </w:pPr>
            <w:r>
              <w:rPr>
                <w:rFonts w:ascii="Arial" w:hAnsi="Arial"/>
                <w:sz w:val="24"/>
              </w:rPr>
              <w:t>Reatividade:</w:t>
            </w:r>
          </w:p>
        </w:tc>
        <w:tc>
          <w:tcPr>
            <w:tcW w:type="dxa" w:w="4320"/>
          </w:tcPr>
          <w:p>
            <w:pPr>
              <w:jc w:val="center"/>
            </w:pPr>
            <w:r>
              <w:rPr>
                <w:rFonts w:ascii="Arial" w:hAnsi="Arial"/>
                <w:sz w:val="24"/>
              </w:rPr>
              <w:t>Não sofre polimerização perigosa.</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Possibilidade de reações perigosas:</w:t>
            </w:r>
          </w:p>
        </w:tc>
        <w:tc>
          <w:tcPr>
            <w:tcW w:type="dxa" w:w="4320"/>
            <w:shd w:val="clear" w:color="auto" w:fill="d9d9d9"/>
          </w:tcPr>
          <w:p>
            <w:pPr>
              <w:jc w:val="center"/>
            </w:pPr>
            <w:r>
              <w:rPr>
                <w:rFonts w:ascii="Arial" w:hAnsi="Arial"/>
                <w:sz w:val="24"/>
              </w:rPr>
              <w:t>Pode Reagir de forma perigosa com materiais combustíveis</w:t>
            </w:r>
          </w:p>
        </w:tc>
      </w:tr>
    </w:tbl>
    <w:tbl>
      <w:tblPr>
        <w:tblW w:type="auto" w:w="0"/>
        <w:jc w:val="center"/>
        <w:tblLook w:firstColumn="1" w:firstRow="1" w:lastColumn="0" w:lastRow="0" w:noHBand="0" w:noVBand="1" w:val="04A0"/>
      </w:tblPr>
      <w:tblGrid>
        <w:gridCol w:w="3312"/>
        <w:gridCol w:w="7488"/>
      </w:tblGrid>
      <w:tr>
        <w:tc>
          <w:tcPr>
            <w:tcW w:type="dxa" w:w="4320"/>
          </w:tcPr>
          <w:p>
            <w:pPr>
              <w:jc w:val="center"/>
            </w:pPr>
            <w:r>
              <w:rPr>
                <w:rFonts w:ascii="Arial" w:hAnsi="Arial"/>
                <w:sz w:val="24"/>
              </w:rPr>
              <w:t>Condições a serem evitadas:</w:t>
            </w:r>
          </w:p>
        </w:tc>
        <w:tc>
          <w:tcPr>
            <w:tcW w:type="dxa" w:w="4320"/>
          </w:tcPr>
          <w:p>
            <w:pPr>
              <w:jc w:val="center"/>
            </w:pPr>
            <w:r>
              <w:rPr>
                <w:rFonts w:ascii="Arial" w:hAnsi="Arial"/>
                <w:sz w:val="24"/>
              </w:rPr>
              <w:t>Temperaturas elevadas, fonte de ignição e contato com materiais incompatíveis.</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Materiais incompatíveis:</w:t>
            </w:r>
          </w:p>
        </w:tc>
        <w:tc>
          <w:tcPr>
            <w:tcW w:type="dxa" w:w="4320"/>
            <w:shd w:val="clear" w:color="auto" w:fill="d9d9d9"/>
          </w:tcPr>
          <w:p>
            <w:pPr>
              <w:jc w:val="center"/>
            </w:pPr>
            <w:r>
              <w:rPr>
                <w:rFonts w:ascii="Arial" w:hAnsi="Arial"/>
                <w:sz w:val="24"/>
              </w:rPr>
              <w:t xml:space="preserve">Não </w:t>
            </w:r>
          </w:p>
        </w:tc>
      </w:tr>
    </w:tbl>
    <w:tbl>
      <w:tblPr>
        <w:tblW w:type="auto" w:w="0"/>
        <w:jc w:val="center"/>
        <w:tblLook w:firstColumn="1" w:firstRow="1" w:lastColumn="0" w:lastRow="0" w:noHBand="0" w:noVBand="1" w:val="04A0"/>
      </w:tblPr>
      <w:tblGrid>
        <w:gridCol w:w="3312"/>
        <w:gridCol w:w="7488"/>
      </w:tblGrid>
      <w:tr>
        <w:tc>
          <w:tcPr>
            <w:tcW w:type="dxa" w:w="4320"/>
          </w:tcPr>
          <w:p>
            <w:pPr>
              <w:jc w:val="center"/>
            </w:pPr>
            <w:r>
              <w:rPr>
                <w:rFonts w:ascii="Arial" w:hAnsi="Arial"/>
                <w:sz w:val="24"/>
              </w:rPr>
              <w:t>Produtos perigosos da decomposição:</w:t>
            </w:r>
          </w:p>
        </w:tc>
        <w:tc>
          <w:tcPr>
            <w:tcW w:type="dxa" w:w="4320"/>
          </w:tcPr>
          <w:p>
            <w:pPr>
              <w:jc w:val="center"/>
            </w:pPr>
            <w:r>
              <w:rPr>
                <w:rFonts w:ascii="Arial" w:hAnsi="Arial"/>
                <w:sz w:val="24"/>
              </w:rPr>
              <w:t>Não disponivel</w:t>
            </w:r>
          </w:p>
        </w:tc>
      </w:tr>
    </w:tbl>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jc w:val="center"/>
      <w:tblLook w:firstColumn="1" w:firstRow="1" w:lastColumn="0" w:lastRow="0" w:noHBand="0" w:noVBand="1" w:val="04A0"/>
    </w:tblPr>
    <w:tblGrid>
      <w:gridCol w:w="3168"/>
      <w:gridCol w:w="144"/>
      <w:gridCol w:w="4320"/>
      <w:gridCol w:w="144"/>
      <w:gridCol w:w="3024"/>
    </w:tblGrid>
    <w:tr>
      <w:tc>
        <w:tcPr>
          <w:tcW w:type="dxa" w:w="360"/>
          <w:vMerge w:val="restart"/>
          <w:vAlign w:val="center"/>
        </w:tcPr>
        <w:p>
          <w:pPr>
            <w:jc w:val="center"/>
          </w:pPr>
          <w:r>
            <w:drawing>
              <wp:inline xmlns:a="http://schemas.openxmlformats.org/drawingml/2006/main" xmlns:pic="http://schemas.openxmlformats.org/drawingml/2006/picture">
                <wp:extent cx="1645920" cy="997186"/>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645920" cy="997186"/>
                        </a:xfrm>
                        <a:prstGeom prst="rect"/>
                      </pic:spPr>
                    </pic:pic>
                  </a:graphicData>
                </a:graphic>
              </wp:inline>
            </w:drawing>
          </w:r>
        </w:p>
      </w:tc>
      <w:tc>
        <w:tcPr>
          <w:tcW w:type="dxa" w:w="360"/>
          <w:vMerge w:val="restart"/>
        </w:tcPr>
        <w:p/>
      </w:tc>
      <w:tc>
        <w:tcPr>
          <w:tcW w:type="dxa" w:w="360"/>
          <w:vMerge w:val="restart"/>
          <w:vAlign w:val="center"/>
        </w:tcPr>
        <w:p>
          <w:pPr>
            <w:jc w:val="center"/>
          </w:pPr>
          <w:r>
            <w:rPr>
              <w:rFonts w:ascii="Arial" w:hAnsi="Arial"/>
              <w:b/>
              <w:sz w:val="36"/>
            </w:rPr>
            <w:t>FDS - Ureia Carbamida</w:t>
            <w:tab/>
          </w:r>
        </w:p>
      </w:tc>
      <w:tc>
        <w:tcPr>
          <w:tcW w:type="dxa" w:w="360"/>
          <w:vMerge w:val="restart"/>
        </w:tcPr>
        <w:p/>
      </w:tc>
      <w:tc>
        <w:tcPr>
          <w:tcW w:type="dxa" w:w="360"/>
          <w:vAlign w:val="center"/>
        </w:tcPr>
        <w:p/>
        <w:p>
          <w:pPr>
            <w:jc w:val="center"/>
          </w:pPr>
          <w:r>
            <w:rPr>
              <w:rFonts w:ascii="Arial" w:hAnsi="Arial"/>
              <w:b/>
              <w:sz w:val="24"/>
            </w:rPr>
            <w:t>FOR-40</w:t>
          </w:r>
        </w:p>
      </w:tc>
    </w:tr>
    <w:tr>
      <w:tc>
        <w:tcPr>
          <w:tcW w:type="dxa" w:w="360"/>
          <w:vMerge/>
        </w:tcPr>
        <w:p/>
      </w:tc>
      <w:tc>
        <w:tcPr>
          <w:tcW w:type="dxa" w:w="360"/>
          <w:vMerge/>
        </w:tcPr>
        <w:p/>
      </w:tc>
      <w:tc>
        <w:tcPr>
          <w:tcW w:type="dxa" w:w="360"/>
          <w:vMerge/>
        </w:tcPr>
        <w:p/>
      </w:tc>
      <w:tc>
        <w:tcPr>
          <w:tcW w:type="dxa" w:w="360"/>
          <w:vMerge/>
        </w:tcPr>
        <w:p/>
      </w:tc>
      <w:tc>
        <w:tcPr>
          <w:tcW w:type="dxa" w:w="360"/>
          <w:vAlign w:val="center"/>
        </w:tcPr>
        <w:p/>
        <w:p>
          <w:pPr>
            <w:jc w:val="center"/>
          </w:pPr>
          <w:r>
            <w:rPr>
              <w:rFonts w:ascii="Arial" w:hAnsi="Arial"/>
              <w:b/>
              <w:sz w:val="24"/>
            </w:rPr>
            <w:t>Revisao: 01</w:t>
          </w:r>
        </w:p>
      </w:tc>
    </w:tr>
    <w:tr>
      <w:tc>
        <w:tcPr>
          <w:tcW w:type="dxa" w:w="360"/>
          <w:vMerge/>
        </w:tcPr>
        <w:p/>
      </w:tc>
      <w:tc>
        <w:tcPr>
          <w:tcW w:type="dxa" w:w="360"/>
          <w:vMerge/>
        </w:tcPr>
        <w:p/>
      </w:tc>
      <w:tc>
        <w:tcPr>
          <w:tcW w:type="dxa" w:w="360"/>
          <w:vMerge/>
        </w:tcPr>
        <w:p/>
      </w:tc>
      <w:tc>
        <w:tcPr>
          <w:tcW w:type="dxa" w:w="360"/>
          <w:vMerge/>
        </w:tcPr>
        <w:p/>
      </w:tc>
      <w:tc>
        <w:tcPr>
          <w:tcW w:type="dxa" w:w="360"/>
          <w:vAlign w:val="center"/>
        </w:tcPr>
        <w:p/>
        <w:p>
          <w:pPr>
            <w:jc w:val="center"/>
          </w:pPr>
          <w:r>
            <w:rPr>
              <w:rFonts w:ascii="Arial" w:hAnsi="Arial"/>
              <w:b/>
              <w:sz w:val="24"/>
            </w:rPr>
            <w:t>DATA:</w:t>
            <w:br/>
            <w:t>28/07/2024</w:t>
          </w:r>
        </w:p>
      </w:tc>
    </w:tr>
    <w:tr>
      <w:tc>
        <w:tcPr>
          <w:tcW w:type="dxa" w:w="360"/>
          <w:vMerge/>
        </w:tcPr>
        <w:p/>
      </w:tc>
      <w:tc>
        <w:tcPr>
          <w:tcW w:type="dxa" w:w="360"/>
          <w:vMerge/>
        </w:tcPr>
        <w:p/>
      </w:tc>
      <w:tc>
        <w:tcPr>
          <w:tcW w:type="dxa" w:w="360"/>
          <w:vMerge/>
        </w:tcPr>
        <w:p/>
      </w:tc>
      <w:tc>
        <w:tcPr>
          <w:tcW w:type="dxa" w:w="360"/>
          <w:vMerge/>
        </w:tcPr>
        <w:p/>
      </w:tc>
      <w:tc>
        <w:tcPr>
          <w:tcW w:type="dxa" w:w="360"/>
          <w:vAlign w:val="center"/>
        </w:tcPr>
        <w:p/>
        <w:p>
          <w:pPr>
            <w:jc w:val="center"/>
          </w:pPr>
          <w:r>
            <w:rPr>
              <w:rFonts w:ascii="Arial" w:hAnsi="Arial"/>
              <w:b/>
              <w:sz w:val="24"/>
            </w:rPr>
            <w:t xml:space="preserve">Página </w:t>
          </w:r>
          <w:r>
            <w:rPr>
              <w:rFonts w:ascii="Arial" w:hAnsi="Arial"/>
              <w:b/>
              <w:sz w:val="24"/>
            </w:rPr>
            <w:fldChar w:fldCharType="begin"/>
            <w:instrText xml:space="preserve">PAGE</w:instrText>
            <w:fldChar w:fldCharType="separate"/>
            <w:t>1</w:t>
            <w:fldChar w:fldCharType="end"/>
          </w:r>
          <w:r>
            <w:rPr>
              <w:rFonts w:ascii="Arial" w:hAnsi="Arial"/>
              <w:b/>
              <w:sz w:val="24"/>
            </w:rPr>
            <w:t xml:space="preserve"> de </w:t>
          </w:r>
          <w:r>
            <w:rPr>
              <w:rFonts w:ascii="Arial" w:hAnsi="Arial"/>
              <w:b/>
              <w:sz w:val="24"/>
            </w:rPr>
            <w:fldChar w:fldCharType="begin"/>
            <w:instrText xml:space="preserve">NUMPAGES</w:instrText>
            <w:fldChar w:fldCharType="separate"/>
            <w:t>1</w:t>
            <w:fldChar w:fldCharType="end"/>
          </w:r>
        </w:p>
      </w:tc>
    </w:tr>
  </w:tbl>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