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gridCol w:w="4320"/>
      </w:tblGrid>
      <w:tr>
        <w:trPr>
          <w:trHeight w:hRule="exact" w:val="360"/>
        </w:trPr>
        <w:tc>
          <w:tcPr>
            <w:tcW w:type="dxa" w:w="8640"/>
            <w:gridSpan w:val="2"/>
            <w:tcBorders>
              <w:top w:val="single" w:sz="8" w:space="0" w:color="000000"/>
              <w:bottom w:val="single" w:sz="8" w:space="0" w:color="000000"/>
              <w:left w:val="nil"/>
              <w:right w:val="nil"/>
            </w:tcBorders>
          </w:tcPr>
          <w:p>
            <w:pPr>
              <w:jc w:val="center"/>
            </w:pPr>
            <w:r>
              <w:rPr>
                <w:rFonts w:ascii="Arial" w:hAnsi="Arial"/>
                <w:b/>
                <w:sz w:val="28"/>
              </w:rPr>
              <w:t>1 - IDENTIFICAÇÃO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b w:val="0"/>
                <w:sz w:val="24"/>
              </w:rPr>
              <w:t>Identificação do produto:</w:t>
            </w:r>
          </w:p>
        </w:tc>
        <w:tc>
          <w:tcPr>
            <w:tcW w:type="dxa" w:w="4320"/>
            <w:shd w:val="clear" w:color="auto" w:fill="d9d9d9"/>
          </w:tcPr>
          <w:p>
            <w:pPr>
              <w:jc w:val="center"/>
            </w:pPr>
            <w:r>
              <w:rPr>
                <w:rFonts w:ascii="Arial" w:hAnsi="Arial"/>
                <w:b w:val="0"/>
                <w:sz w:val="24"/>
              </w:rPr>
              <w:t>ÁCIDO CLORÍDRICO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b w:val="0"/>
                <w:sz w:val="24"/>
              </w:rPr>
              <w:t>Usos recomendados:</w:t>
            </w:r>
          </w:p>
        </w:tc>
        <w:tc>
          <w:tcPr>
            <w:tcW w:type="dxa" w:w="4320"/>
          </w:tcPr>
          <w:p>
            <w:pPr>
              <w:jc w:val="center"/>
            </w:pPr>
            <w:r>
              <w:rPr>
                <w:rFonts w:ascii="Arial" w:hAnsi="Arial"/>
                <w:b w:val="0"/>
                <w:sz w:val="24"/>
              </w:rPr>
              <w:t>Agente de acidificação em poços de petróleo ; intermediário na fabricação de produtos químicos ; redução do ouro ; processamento de alimentos ; limpeza e decapagem de metais ; acidificação industrial ; limpeza geral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b w:val="0"/>
                <w:sz w:val="24"/>
              </w:rPr>
              <w:t>Detalhes do fornecedor:</w:t>
            </w:r>
          </w:p>
        </w:tc>
        <w:tc>
          <w:tcPr>
            <w:tcW w:type="dxa" w:w="4320"/>
            <w:shd w:val="clear" w:color="auto" w:fill="d9d9d9"/>
          </w:tcPr>
          <w:p>
            <w:pPr>
              <w:jc w:val="center"/>
            </w:pPr>
            <w:r>
              <w:rPr>
                <w:rFonts w:ascii="Arial" w:hAnsi="Arial"/>
                <w:b w:val="0"/>
                <w:sz w:val="24"/>
              </w:rPr>
              <w:br/>
              <w:t xml:space="preserve">    PORTUGAL QUÍMICA LTDA.</w:t>
              <w:br/>
              <w:br/>
              <w:t xml:space="preserve">    Endereço: Av. Marcelo Zanarotti, 465 - Distrito Industrial - Dumont/SP - Brasil - Cep: 14120-000</w:t>
              <w:br/>
              <w:t xml:space="preserve">    Telefone: +55 16 3844-0999</w:t>
              <w:br/>
              <w:t xml:space="preserve">    E-mail: portugal@portugalquimica.com.br</w:t>
              <w:br/>
              <w:t xml:space="preserve">    </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b w:val="0"/>
                <w:sz w:val="24"/>
              </w:rPr>
              <w:t>Número do telefone de emergência:</w:t>
            </w:r>
          </w:p>
        </w:tc>
        <w:tc>
          <w:tcPr>
            <w:tcW w:type="dxa" w:w="4320"/>
          </w:tcPr>
          <w:p>
            <w:pPr>
              <w:jc w:val="center"/>
            </w:pPr>
            <w:r>
              <w:rPr>
                <w:rFonts w:ascii="Arial" w:hAnsi="Arial"/>
                <w:b w:val="0"/>
                <w:sz w:val="24"/>
              </w:rPr>
              <w:t>AMBIPAR - 0800-117-2020</w:t>
            </w:r>
          </w:p>
        </w:tc>
      </w:tr>
    </w:tbl>
    <w:tbl>
      <w:tblPr>
        <w:tblW w:type="auto" w:w="0"/>
        <w:jc w:val="center"/>
        <w:tblLook w:firstColumn="1" w:firstRow="1" w:lastColumn="0" w:lastRow="0" w:noHBand="0" w:noVBand="1" w:val="04A0"/>
      </w:tblPr>
      <w:tblGrid>
        <w:gridCol w:w="10800"/>
        <w:gridCol w:w="4320"/>
      </w:tblGrid>
      <w:tr>
        <w:trPr>
          <w:trHeight w:hRule="exact" w:val="360"/>
        </w:trPr>
        <w:tc>
          <w:tcPr>
            <w:tcW w:type="dxa" w:w="8640"/>
            <w:gridSpan w:val="2"/>
            <w:tcBorders>
              <w:top w:val="single" w:sz="8" w:space="0" w:color="000000"/>
              <w:bottom w:val="single" w:sz="8" w:space="0" w:color="000000"/>
              <w:left w:val="nil"/>
              <w:right w:val="nil"/>
            </w:tcBorders>
          </w:tcPr>
          <w:p>
            <w:pPr>
              <w:jc w:val="center"/>
            </w:pPr>
            <w:r>
              <w:rPr>
                <w:rFonts w:ascii="Arial" w:hAnsi="Arial"/>
                <w:b/>
                <w:sz w:val="28"/>
              </w:rPr>
              <w:t>9- PROPRIEDADES FÍSICAS E QUÍMICAS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Estado físico:</w:t>
            </w:r>
          </w:p>
        </w:tc>
        <w:tc>
          <w:tcPr>
            <w:tcW w:type="dxa" w:w="4320"/>
            <w:shd w:val="clear" w:color="auto" w:fill="d9d9d9"/>
          </w:tcPr>
          <w:p>
            <w:pPr>
              <w:jc w:val="left"/>
            </w:pPr>
            <w:r>
              <w:rPr>
                <w:rFonts w:ascii="Arial" w:hAnsi="Arial"/>
                <w:b w:val="0"/>
                <w:sz w:val="24"/>
              </w:rPr>
              <w:t>solução</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Cor:</w:t>
            </w:r>
          </w:p>
        </w:tc>
        <w:tc>
          <w:tcPr>
            <w:tcW w:type="dxa" w:w="4320"/>
          </w:tcPr>
          <w:p>
            <w:pPr>
              <w:jc w:val="left"/>
            </w:pPr>
            <w:r>
              <w:rPr>
                <w:rFonts w:ascii="Arial" w:hAnsi="Arial"/>
                <w:b w:val="0"/>
                <w:sz w:val="24"/>
              </w:rPr>
              <w:t>incolour</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Odor e limite de odor:</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Ponto de fusão/ponto de congelamento:</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Ponto de ebulição ou ponto de ebulição inicial e faixa de ebulição:</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Inflamabilidade (sólido; líquidos e gás):</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Limite inferior/superior de inflamabilidade ou explosividade:</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Ponto de fulgor:</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Temperatura de autoignição:</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Temperatura de decomposição:</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pH:</w:t>
            </w:r>
          </w:p>
        </w:tc>
        <w:tc>
          <w:tcPr>
            <w:tcW w:type="dxa" w:w="4320"/>
            <w:shd w:val="clear" w:color="auto" w:fill="d9d9d9"/>
          </w:tcPr>
          <w:p>
            <w:pPr>
              <w:jc w:val="left"/>
            </w:pPr>
            <w:r>
              <w:rPr>
                <w:rFonts w:ascii="Arial" w:hAnsi="Arial"/>
                <w:b w:val="0"/>
                <w:sz w:val="24"/>
              </w:rPr>
              <w:t>0,1</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Viscosidade cinemática:</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Solubilidade:</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Coeficiente de partição - noctanol/água:</w:t>
            </w:r>
          </w:p>
        </w:tc>
        <w:tc>
          <w:tcPr>
            <w:tcW w:type="dxa" w:w="4320"/>
          </w:tcPr>
          <w:p>
            <w:pPr>
              <w:jc w:val="left"/>
            </w:pPr>
            <w:r>
              <w:rPr>
                <w:rFonts w:ascii="Arial" w:hAnsi="Arial"/>
                <w:b w:val="0"/>
                <w:sz w:val="24"/>
              </w:rPr>
              <w:t>0,25</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Pressão de vapor:</w:t>
            </w:r>
          </w:p>
        </w:tc>
        <w:tc>
          <w:tcPr>
            <w:tcW w:type="dxa" w:w="4320"/>
            <w:shd w:val="clear" w:color="auto" w:fill="d9d9d9"/>
          </w:tcPr>
          <w:p>
            <w:pPr>
              <w:jc w:val="left"/>
            </w:pPr>
            <w:r>
              <w:rPr>
                <w:rFonts w:ascii="Arial" w:hAnsi="Arial"/>
                <w:b w:val="0"/>
                <w:sz w:val="24"/>
              </w:rPr>
              <w:t>169,94 mmHg</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Densidade relativa:</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Densidade de vapor relativa:</w:t>
            </w:r>
          </w:p>
        </w:tc>
        <w:tc>
          <w:tcPr>
            <w:tcW w:type="dxa" w:w="4320"/>
            <w:shd w:val="clear" w:color="auto" w:fill="d9d9d9"/>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b w:val="0"/>
                <w:sz w:val="24"/>
              </w:rPr>
              <w:t>Características das partículas (sólidos):</w:t>
            </w:r>
          </w:p>
        </w:tc>
        <w:tc>
          <w:tcPr>
            <w:tcW w:type="dxa" w:w="4320"/>
          </w:tcPr>
          <w:p>
            <w:pPr>
              <w:jc w:val="left"/>
            </w:pPr>
            <w:r>
              <w:rPr>
                <w:rFonts w:ascii="Arial" w:hAnsi="Arial"/>
                <w:b w:val="0"/>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b w:val="0"/>
                <w:sz w:val="24"/>
              </w:rPr>
              <w:t>Outras informações:</w:t>
            </w:r>
          </w:p>
        </w:tc>
        <w:tc>
          <w:tcPr>
            <w:tcW w:type="dxa" w:w="4320"/>
            <w:shd w:val="clear" w:color="auto" w:fill="d9d9d9"/>
          </w:tcPr>
          <w:p>
            <w:pPr>
              <w:jc w:val="left"/>
            </w:pPr>
            <w:r>
              <w:rPr>
                <w:rFonts w:ascii="Arial" w:hAnsi="Arial"/>
                <w:b w:val="0"/>
                <w:sz w:val="24"/>
              </w:rPr>
              <w:t>Reatividade com materiais comuns: Corrosivo para a maioria dos metais, com liberação de gás hidrogênio, que pode formar misturas explosivas com o ar.</w:t>
              <w:br/>
              <w:br/>
              <w:t>REAÇÕES PERIGOSAS: Reações químicas perigosas. Risco de explosão em contato com: potássio, sódio, permanganato de potássio (raramente), ácido sulfúrico concentrado. A substância pode reagir perigosamente com: alumínio, aminas, flúor, soda cáustica concentrada, agentes oxidantes, césio, carbetos; carbeto de cálcio; hidreto de cálcio; formaldeído; sulfeto de cobre; siliceto de lítio; metais; hidreto de sódio; hipoclorito de sódio e suas soluções; solução branqueadora de natrão; carbeto de rubídio; silanos; dióxido de silício; éter vinil metílico; zinco.</w:t>
              <w:br/>
              <w:br/>
              <w:t>CARACTERIZAÇÃO QUÍMICA: Miscível com água. Características de uma solução de ácido clorídrico a 36%: Fortemente cáustico. Reage com o ar formando fumos ácidos cáusticos, mais pesados que o ar. Ácido forte que reage vigorosamente com bases. Metais não nobres são dissolvidos com formação de hidrogênio. Óxidos também são dissolvidos. Carbonatos são convertidos com formação de dióxido de carbono. Com agentes oxidantes, forma-se cloro. A substância pode causar riscos à saúde agudos ou crônicos (ver: capítulo REGULAMENTAÇÕES).</w:t>
              <w:br/>
              <w:br/>
              <w:t>Polimerização: Não ocorre.</w:t>
              <w:br/>
              <w:br/>
              <w:t>Solubilidade na água: Miscível.</w:t>
              <w:br/>
              <w:br/>
              <w:t>Reações perigosas com outros produtos químicos: Reage violentamente com oxidantes, liberando gás cloro.</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ook w:firstColumn="1" w:firstRow="1" w:lastColumn="0" w:lastRow="0" w:noHBand="0" w:noVBand="1" w:val="04A0"/>
    </w:tblPr>
    <w:tblGrid>
      <w:gridCol w:w="3168"/>
      <w:gridCol w:w="144"/>
      <w:gridCol w:w="4320"/>
      <w:gridCol w:w="144"/>
      <w:gridCol w:w="3024"/>
    </w:tblGrid>
    <w:tr>
      <w:tc>
        <w:tcPr>
          <w:tcW w:type="dxa" w:w="360"/>
          <w:vMerge w:val="restart"/>
          <w:vAlign w:val="center"/>
        </w:tcPr>
        <w:p>
          <w:pPr>
            <w:jc w:val="center"/>
          </w:pPr>
          <w:r>
            <w:drawing>
              <wp:inline xmlns:a="http://schemas.openxmlformats.org/drawingml/2006/main" xmlns:pic="http://schemas.openxmlformats.org/drawingml/2006/picture">
                <wp:extent cx="1645920" cy="99718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45920" cy="997186"/>
                        </a:xfrm>
                        <a:prstGeom prst="rect"/>
                      </pic:spPr>
                    </pic:pic>
                  </a:graphicData>
                </a:graphic>
              </wp:inline>
            </w:drawing>
          </w:r>
        </w:p>
      </w:tc>
      <w:tc>
        <w:tcPr>
          <w:tcW w:type="dxa" w:w="360"/>
          <w:vMerge w:val="restart"/>
        </w:tcPr>
        <w:p/>
      </w:tc>
      <w:tc>
        <w:tcPr>
          <w:tcW w:type="dxa" w:w="360"/>
          <w:vMerge w:val="restart"/>
          <w:vAlign w:val="center"/>
        </w:tcPr>
        <w:p>
          <w:pPr>
            <w:jc w:val="center"/>
          </w:pPr>
          <w:r>
            <w:rPr>
              <w:rFonts w:ascii="Arial" w:hAnsi="Arial"/>
              <w:b/>
              <w:sz w:val="36"/>
            </w:rPr>
            <w:t>FDS - ÁCIDO CLORÍDRICO</w:t>
            <w:tab/>
          </w:r>
        </w:p>
      </w:tc>
      <w:tc>
        <w:tcPr>
          <w:tcW w:type="dxa" w:w="360"/>
          <w:vMerge w:val="restart"/>
        </w:tcPr>
        <w:p/>
      </w:tc>
      <w:tc>
        <w:tcPr>
          <w:tcW w:type="dxa" w:w="360"/>
          <w:vAlign w:val="center"/>
        </w:tcPr>
        <w:p/>
        <w:p>
          <w:pPr>
            <w:jc w:val="center"/>
          </w:pPr>
          <w:r>
            <w:rPr>
              <w:rFonts w:ascii="Arial" w:hAnsi="Arial"/>
              <w:b/>
              <w:sz w:val="24"/>
            </w:rPr>
            <w:t>FOR-40</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Revisao: 01</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DATA:</w:t>
            <w:br/>
            <w:t>28/07/2024</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r>
            <w:rPr>
              <w:rFonts w:ascii="Arial" w:hAnsi="Arial"/>
              <w:b/>
              <w:sz w:val="24"/>
            </w:rPr>
            <w:t xml:space="preserve">Página </w:t>
          </w:r>
          <w:r>
            <w:rPr>
              <w:rFonts w:ascii="Arial" w:hAnsi="Arial"/>
              <w:b/>
              <w:sz w:val="24"/>
            </w:rPr>
            <w:fldChar w:fldCharType="begin"/>
            <w:instrText xml:space="preserve">PAGE</w:instrText>
            <w:fldChar w:fldCharType="separate"/>
            <w:t>1</w:t>
            <w:fldChar w:fldCharType="end"/>
          </w:r>
          <w:r>
            <w:rPr>
              <w:rFonts w:ascii="Arial" w:hAnsi="Arial"/>
              <w:b/>
              <w:sz w:val="24"/>
            </w:rPr>
            <w:t xml:space="preserve"> de </w:t>
          </w:r>
          <w:r>
            <w:rPr>
              <w:rFonts w:ascii="Arial" w:hAnsi="Arial"/>
              <w:b/>
              <w:sz w:val="24"/>
            </w:rPr>
            <w:fldChar w:fldCharType="begin"/>
            <w:instrText xml:space="preserve">NUMPAGES</w:instrText>
            <w:fldChar w:fldCharType="separate"/>
            <w:t>1</w:t>
            <w:fldChar w:fldCharType="end"/>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