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4414B"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Introdução</w:t>
      </w:r>
    </w:p>
    <w:p w14:paraId="0CF9B6C9" w14:textId="77777777" w:rsidR="00947460" w:rsidRDefault="00947460">
      <w:pPr>
        <w:spacing w:after="0" w:line="240" w:lineRule="auto"/>
        <w:ind w:left="-426"/>
        <w:jc w:val="both"/>
        <w:rPr>
          <w:rFonts w:ascii="Arial" w:eastAsia="Arial" w:hAnsi="Arial" w:cs="Arial"/>
          <w:b/>
          <w:bCs/>
        </w:rPr>
      </w:pPr>
    </w:p>
    <w:p w14:paraId="62E5FD02" w14:textId="39949F9F" w:rsidR="00947460" w:rsidRDefault="005F5F03">
      <w:pPr>
        <w:numPr>
          <w:ilvl w:val="1"/>
          <w:numId w:val="1"/>
        </w:numPr>
        <w:spacing w:after="0" w:line="240" w:lineRule="auto"/>
        <w:ind w:left="284"/>
        <w:jc w:val="both"/>
        <w:rPr>
          <w:rFonts w:ascii="Arial" w:eastAsia="Arial" w:hAnsi="Arial" w:cs="Arial"/>
        </w:rPr>
      </w:pPr>
      <w:r w:rsidRPr="005F5F03">
        <w:rPr>
          <w:rFonts w:ascii="Arial" w:eastAsia="Arial" w:hAnsi="Arial" w:cs="Arial"/>
        </w:rPr>
        <w:t>A Norma de Segurança da Informação N-SI-010-SGCI complementa a Política Geral de Segurança da Informação do Sistema de Gestão e Capital Intelectual (SGCI), definindo as diretrizes para responder a eventos ou incidentes de segurança que estejam impactando ou possam vir a impactar ativos/serviços de informação ou recursos computacionais da Empresa de Caminhões</w:t>
      </w:r>
      <w:r w:rsidR="00000000">
        <w:rPr>
          <w:rFonts w:ascii="Arial" w:eastAsia="Arial" w:hAnsi="Arial" w:cs="Arial"/>
        </w:rPr>
        <w:t>.</w:t>
      </w:r>
    </w:p>
    <w:p w14:paraId="2C281436" w14:textId="77777777" w:rsidR="00947460" w:rsidRDefault="00947460">
      <w:pPr>
        <w:spacing w:after="0" w:line="240" w:lineRule="auto"/>
        <w:ind w:left="-426"/>
        <w:jc w:val="both"/>
        <w:rPr>
          <w:rFonts w:ascii="Arial" w:eastAsia="Arial" w:hAnsi="Arial" w:cs="Arial"/>
        </w:rPr>
      </w:pPr>
    </w:p>
    <w:p w14:paraId="189C3755"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Propósito</w:t>
      </w:r>
    </w:p>
    <w:p w14:paraId="3C0377F1" w14:textId="77777777" w:rsidR="00947460" w:rsidRDefault="00947460">
      <w:pPr>
        <w:spacing w:after="0" w:line="240" w:lineRule="auto"/>
        <w:ind w:left="-426"/>
        <w:jc w:val="both"/>
        <w:rPr>
          <w:rFonts w:ascii="Arial" w:eastAsia="Arial" w:hAnsi="Arial" w:cs="Arial"/>
        </w:rPr>
      </w:pPr>
    </w:p>
    <w:p w14:paraId="6C1D3E00" w14:textId="60CA9C21" w:rsidR="00947460" w:rsidRDefault="005F5F03">
      <w:pPr>
        <w:numPr>
          <w:ilvl w:val="1"/>
          <w:numId w:val="1"/>
        </w:numPr>
        <w:spacing w:after="0" w:line="240" w:lineRule="auto"/>
        <w:ind w:left="284"/>
        <w:jc w:val="both"/>
        <w:rPr>
          <w:rFonts w:ascii="Arial" w:eastAsia="Arial" w:hAnsi="Arial" w:cs="Arial"/>
        </w:rPr>
      </w:pPr>
      <w:r w:rsidRPr="005F5F03">
        <w:rPr>
          <w:rFonts w:ascii="Arial" w:eastAsia="Arial" w:hAnsi="Arial" w:cs="Arial"/>
        </w:rPr>
        <w:t>Estabelecer diretrizes para garantir a resposta e tratamento adequados a incidentes de segurança da informação que possam impactar ativos/serviços de informação ou recursos computacionais da Empresa de Caminhões, especialmente aqueles relacionados ao SGCI, visando minimizar danos e restaurar a normalidade das operações</w:t>
      </w:r>
      <w:r w:rsidR="00000000">
        <w:rPr>
          <w:rFonts w:ascii="Arial" w:eastAsia="Arial" w:hAnsi="Arial" w:cs="Arial"/>
        </w:rPr>
        <w:t>.</w:t>
      </w:r>
    </w:p>
    <w:p w14:paraId="38E083F5" w14:textId="77777777" w:rsidR="00947460" w:rsidRDefault="00947460">
      <w:pPr>
        <w:spacing w:after="0" w:line="240" w:lineRule="auto"/>
        <w:ind w:left="284"/>
        <w:jc w:val="both"/>
        <w:rPr>
          <w:rFonts w:ascii="Arial" w:eastAsia="Arial" w:hAnsi="Arial" w:cs="Arial"/>
        </w:rPr>
      </w:pPr>
    </w:p>
    <w:p w14:paraId="18330E85" w14:textId="77777777" w:rsidR="00947460" w:rsidRDefault="00947460">
      <w:pPr>
        <w:spacing w:after="0" w:line="240" w:lineRule="auto"/>
        <w:ind w:left="792"/>
        <w:jc w:val="both"/>
        <w:rPr>
          <w:rFonts w:ascii="Arial" w:eastAsia="Arial" w:hAnsi="Arial" w:cs="Arial"/>
        </w:rPr>
      </w:pPr>
    </w:p>
    <w:p w14:paraId="79C0C6D9"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Escopo</w:t>
      </w:r>
    </w:p>
    <w:p w14:paraId="73997E6C" w14:textId="77777777" w:rsidR="00947460" w:rsidRDefault="00947460">
      <w:pPr>
        <w:spacing w:after="0" w:line="240" w:lineRule="auto"/>
        <w:ind w:left="-426"/>
        <w:jc w:val="both"/>
        <w:rPr>
          <w:rFonts w:ascii="Arial" w:eastAsia="Arial" w:hAnsi="Arial" w:cs="Arial"/>
        </w:rPr>
      </w:pPr>
    </w:p>
    <w:p w14:paraId="6293DE5B"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rPr>
        <w:t>Esta norma obedece ao escopo definido na Política Geral de Segurança da Informação.</w:t>
      </w:r>
    </w:p>
    <w:p w14:paraId="5DC64344" w14:textId="77777777" w:rsidR="00947460" w:rsidRDefault="00947460">
      <w:pPr>
        <w:spacing w:after="0" w:line="240" w:lineRule="auto"/>
        <w:ind w:left="-426"/>
        <w:jc w:val="both"/>
        <w:rPr>
          <w:rFonts w:ascii="Arial" w:eastAsia="Arial" w:hAnsi="Arial" w:cs="Arial"/>
        </w:rPr>
      </w:pPr>
    </w:p>
    <w:p w14:paraId="1A0F6B5C"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Diretrizes</w:t>
      </w:r>
    </w:p>
    <w:p w14:paraId="5C96723A" w14:textId="77777777" w:rsidR="00947460" w:rsidRDefault="00947460">
      <w:pPr>
        <w:spacing w:after="0" w:line="240" w:lineRule="auto"/>
        <w:ind w:left="-426"/>
        <w:jc w:val="both"/>
        <w:rPr>
          <w:rFonts w:ascii="Arial" w:eastAsia="Arial" w:hAnsi="Arial" w:cs="Arial"/>
          <w:b/>
          <w:bCs/>
        </w:rPr>
      </w:pPr>
    </w:p>
    <w:p w14:paraId="12A8F1B1"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Incidentes de segurança da informação</w:t>
      </w:r>
    </w:p>
    <w:p w14:paraId="764CC5E0" w14:textId="77777777" w:rsidR="00947460" w:rsidRDefault="00947460">
      <w:pPr>
        <w:spacing w:after="0" w:line="240" w:lineRule="auto"/>
        <w:ind w:left="284"/>
        <w:jc w:val="both"/>
        <w:rPr>
          <w:rFonts w:ascii="Arial" w:eastAsia="Arial" w:hAnsi="Arial" w:cs="Arial"/>
        </w:rPr>
      </w:pPr>
    </w:p>
    <w:p w14:paraId="7A501383" w14:textId="6E9596FC" w:rsidR="00947460" w:rsidRDefault="005F5F03">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sidRPr="005F5F03">
        <w:rPr>
          <w:rFonts w:ascii="Arial" w:eastAsia="Arial" w:hAnsi="Arial" w:cs="Arial"/>
          <w:color w:val="000000"/>
        </w:rPr>
        <w:t>Todas as ocorrências que possam vir a ter impacto negativo sobre a confidencialidade, integridade ou disponibilidade dos ativos/serviços de informação ou recursos computacionais da Empresa de Caminhões (incluindo os módulos do SGCI) serão caracterizadas como um incidente de segurança da informação, devendo as referidas ocorrências serem tratadas de maneira a minimizar qualquer tipo de impacto e recuperar as características de segurança da informação dos itens afetados</w:t>
      </w:r>
      <w:r w:rsidR="00000000">
        <w:rPr>
          <w:rFonts w:ascii="Arial" w:eastAsia="Arial" w:hAnsi="Arial" w:cs="Arial"/>
          <w:color w:val="000000"/>
        </w:rPr>
        <w:t>;</w:t>
      </w:r>
    </w:p>
    <w:p w14:paraId="6D099394" w14:textId="77777777" w:rsidR="00947460" w:rsidRDefault="00947460">
      <w:pPr>
        <w:pBdr>
          <w:top w:val="nil"/>
          <w:left w:val="nil"/>
          <w:bottom w:val="nil"/>
          <w:right w:val="nil"/>
          <w:between w:val="nil"/>
        </w:pBdr>
        <w:spacing w:after="0" w:line="240" w:lineRule="auto"/>
        <w:ind w:left="1418"/>
        <w:jc w:val="both"/>
        <w:rPr>
          <w:rFonts w:ascii="Arial" w:eastAsia="Arial" w:hAnsi="Arial" w:cs="Arial"/>
          <w:color w:val="000000"/>
        </w:rPr>
      </w:pPr>
    </w:p>
    <w:p w14:paraId="236F92DF" w14:textId="13F12DED" w:rsidR="00947460" w:rsidRDefault="005F5F03">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sidRPr="005F5F03">
        <w:rPr>
          <w:rFonts w:ascii="Arial" w:eastAsia="Arial" w:hAnsi="Arial" w:cs="Arial"/>
          <w:color w:val="000000"/>
        </w:rPr>
        <w:t>Incidentes de segurança devem ser priorizados com base na criticidade dos ativos/serviços de informação ou recursos computacionais afetados, combinada com a estimativa de impacto prevista</w:t>
      </w:r>
      <w:r w:rsidR="00000000">
        <w:rPr>
          <w:rFonts w:ascii="Arial" w:eastAsia="Arial" w:hAnsi="Arial" w:cs="Arial"/>
          <w:color w:val="000000"/>
        </w:rPr>
        <w:t>;</w:t>
      </w:r>
    </w:p>
    <w:p w14:paraId="0A624377" w14:textId="77777777" w:rsidR="00947460" w:rsidRDefault="00947460">
      <w:pPr>
        <w:pBdr>
          <w:top w:val="nil"/>
          <w:left w:val="nil"/>
          <w:bottom w:val="nil"/>
          <w:right w:val="nil"/>
          <w:between w:val="nil"/>
        </w:pBdr>
        <w:spacing w:after="0" w:line="240" w:lineRule="auto"/>
        <w:ind w:left="720"/>
        <w:rPr>
          <w:rFonts w:ascii="Arial" w:eastAsia="Arial" w:hAnsi="Arial" w:cs="Arial"/>
          <w:color w:val="000000"/>
        </w:rPr>
      </w:pPr>
    </w:p>
    <w:p w14:paraId="76C2E686" w14:textId="77777777" w:rsidR="00947460" w:rsidRDefault="00000000">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Pr>
          <w:rFonts w:ascii="Arial" w:eastAsia="Arial" w:hAnsi="Arial" w:cs="Arial"/>
          <w:color w:val="000000"/>
        </w:rPr>
        <w:t>Todos os incidentes de segurança da informação ou suspeitas de incidentes de segurança da informação devem ser imediatamente comunicados a área de segurança da informação;</w:t>
      </w:r>
    </w:p>
    <w:p w14:paraId="2E1288A9" w14:textId="77777777" w:rsidR="00947460" w:rsidRDefault="00947460">
      <w:pPr>
        <w:pBdr>
          <w:top w:val="nil"/>
          <w:left w:val="nil"/>
          <w:bottom w:val="nil"/>
          <w:right w:val="nil"/>
          <w:between w:val="nil"/>
        </w:pBdr>
        <w:spacing w:after="0" w:line="240" w:lineRule="auto"/>
        <w:ind w:left="1418"/>
        <w:jc w:val="both"/>
        <w:rPr>
          <w:rFonts w:ascii="Arial" w:eastAsia="Arial" w:hAnsi="Arial" w:cs="Arial"/>
          <w:color w:val="000000"/>
        </w:rPr>
      </w:pPr>
    </w:p>
    <w:p w14:paraId="1811771D" w14:textId="77777777" w:rsidR="00947460" w:rsidRDefault="00000000">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Pr>
          <w:rFonts w:ascii="Arial" w:eastAsia="Arial" w:hAnsi="Arial" w:cs="Arial"/>
          <w:color w:val="000000"/>
        </w:rPr>
        <w:t>A área de segurança da informação deverá determinar a criticidade do incidente e, quando pertinente, comunicar as partes interessadas como, por exemplo, membros do time de resposta a incidentes de segurança da informação;</w:t>
      </w:r>
    </w:p>
    <w:p w14:paraId="71136474" w14:textId="77777777" w:rsidR="00947460" w:rsidRDefault="00947460">
      <w:pPr>
        <w:pBdr>
          <w:top w:val="nil"/>
          <w:left w:val="nil"/>
          <w:bottom w:val="nil"/>
          <w:right w:val="nil"/>
          <w:between w:val="nil"/>
        </w:pBdr>
        <w:spacing w:after="0" w:line="240" w:lineRule="auto"/>
        <w:ind w:left="720"/>
        <w:rPr>
          <w:rFonts w:ascii="Arial" w:eastAsia="Arial" w:hAnsi="Arial" w:cs="Arial"/>
          <w:color w:val="000000"/>
        </w:rPr>
      </w:pPr>
    </w:p>
    <w:p w14:paraId="1001BCF1" w14:textId="77777777" w:rsidR="00947460" w:rsidRDefault="00000000">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Pr>
          <w:rFonts w:ascii="Arial" w:eastAsia="Arial" w:hAnsi="Arial" w:cs="Arial"/>
          <w:color w:val="000000"/>
        </w:rPr>
        <w:t>Na ocorrência de um incidente de segurança da informação, ativos/serviços de informação ou recursos computacionais com suspeita de ter sua segurança comprometida, devem ser isolados do ambiente corporativo, de forma a garantir a contenção do incidente;</w:t>
      </w:r>
    </w:p>
    <w:p w14:paraId="2DBA1456" w14:textId="77777777" w:rsidR="00947460" w:rsidRDefault="00947460">
      <w:pPr>
        <w:pBdr>
          <w:top w:val="nil"/>
          <w:left w:val="nil"/>
          <w:bottom w:val="nil"/>
          <w:right w:val="nil"/>
          <w:between w:val="nil"/>
        </w:pBdr>
        <w:spacing w:after="0"/>
        <w:ind w:left="720"/>
        <w:rPr>
          <w:rFonts w:ascii="Arial" w:eastAsia="Arial" w:hAnsi="Arial" w:cs="Arial"/>
          <w:color w:val="000000"/>
        </w:rPr>
      </w:pPr>
    </w:p>
    <w:p w14:paraId="56AAF637" w14:textId="77777777" w:rsidR="00947460" w:rsidRDefault="00000000">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Pr>
          <w:rFonts w:ascii="Arial" w:eastAsia="Arial" w:hAnsi="Arial" w:cs="Arial"/>
          <w:color w:val="000000"/>
        </w:rPr>
        <w:lastRenderedPageBreak/>
        <w:t>A extensão dos danos do incidente de segurança deve ser avaliada para, em seguida, ser identificado o melhor curso de ação para erradicação completa do incidente e restauração dos ativos de informação afetados;</w:t>
      </w:r>
    </w:p>
    <w:p w14:paraId="77B4870D" w14:textId="77777777" w:rsidR="00947460" w:rsidRDefault="00947460">
      <w:pPr>
        <w:pBdr>
          <w:top w:val="nil"/>
          <w:left w:val="nil"/>
          <w:bottom w:val="nil"/>
          <w:right w:val="nil"/>
          <w:between w:val="nil"/>
        </w:pBdr>
        <w:spacing w:after="0"/>
        <w:ind w:left="720"/>
        <w:rPr>
          <w:rFonts w:ascii="Arial" w:eastAsia="Arial" w:hAnsi="Arial" w:cs="Arial"/>
          <w:color w:val="000000"/>
        </w:rPr>
      </w:pPr>
    </w:p>
    <w:p w14:paraId="63ADED37" w14:textId="77777777" w:rsidR="00947460" w:rsidRDefault="00000000">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Pr>
          <w:rFonts w:ascii="Arial" w:eastAsia="Arial" w:hAnsi="Arial" w:cs="Arial"/>
          <w:color w:val="000000"/>
        </w:rPr>
        <w:t>Após a erradicação completa do incidente, deve ser realizada uma revisão completa da ocorrência, identificando o nível real de impacto, vulnerabilidades exploradas, a efetividade do tratamento aplicado e a necessidade de maiores ações para evitar a recorrência do incidente.</w:t>
      </w:r>
    </w:p>
    <w:p w14:paraId="22723B9C" w14:textId="77777777" w:rsidR="00947460" w:rsidRDefault="00947460">
      <w:pPr>
        <w:spacing w:after="0" w:line="240" w:lineRule="auto"/>
        <w:jc w:val="both"/>
        <w:rPr>
          <w:rFonts w:ascii="Arial" w:eastAsia="Arial" w:hAnsi="Arial" w:cs="Arial"/>
        </w:rPr>
      </w:pPr>
    </w:p>
    <w:p w14:paraId="1365A757"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Time de resposta a incidentes de segurança da informação</w:t>
      </w:r>
    </w:p>
    <w:p w14:paraId="3DD17C03" w14:textId="77777777" w:rsidR="00947460" w:rsidRDefault="00947460">
      <w:pPr>
        <w:spacing w:after="0" w:line="240" w:lineRule="auto"/>
        <w:ind w:left="284"/>
        <w:jc w:val="both"/>
        <w:rPr>
          <w:rFonts w:ascii="Arial" w:eastAsia="Arial" w:hAnsi="Arial" w:cs="Arial"/>
        </w:rPr>
      </w:pPr>
    </w:p>
    <w:p w14:paraId="288F5CE7" w14:textId="77777777" w:rsidR="00947460" w:rsidRDefault="00000000">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Pr>
          <w:rFonts w:ascii="Arial" w:eastAsia="Arial" w:hAnsi="Arial" w:cs="Arial"/>
          <w:color w:val="000000"/>
        </w:rPr>
        <w:t xml:space="preserve">O time de resposta a incidentes de segurança da informação da </w:t>
      </w:r>
      <w:r>
        <w:rPr>
          <w:rFonts w:ascii="Arial" w:eastAsia="Arial" w:hAnsi="Arial" w:cs="Arial"/>
        </w:rPr>
        <w:t>DHL LOGÍSTICA</w:t>
      </w:r>
      <w:r>
        <w:rPr>
          <w:rFonts w:ascii="Arial" w:eastAsia="Arial" w:hAnsi="Arial" w:cs="Arial"/>
          <w:color w:val="000000"/>
        </w:rPr>
        <w:t xml:space="preserve"> deverá ser composto por, no mínimo, representantes das seguintes áreas:</w:t>
      </w:r>
    </w:p>
    <w:p w14:paraId="1EEBCD48" w14:textId="77777777" w:rsidR="00947460" w:rsidRDefault="00947460">
      <w:pPr>
        <w:pBdr>
          <w:top w:val="nil"/>
          <w:left w:val="nil"/>
          <w:bottom w:val="nil"/>
          <w:right w:val="nil"/>
          <w:between w:val="nil"/>
        </w:pBdr>
        <w:spacing w:after="0" w:line="240" w:lineRule="auto"/>
        <w:ind w:left="1224"/>
        <w:jc w:val="both"/>
        <w:rPr>
          <w:rFonts w:ascii="Arial" w:eastAsia="Arial" w:hAnsi="Arial" w:cs="Arial"/>
          <w:color w:val="000000"/>
        </w:rPr>
      </w:pPr>
    </w:p>
    <w:p w14:paraId="572F01F2" w14:textId="77777777" w:rsidR="00947460" w:rsidRDefault="00000000">
      <w:pPr>
        <w:numPr>
          <w:ilvl w:val="3"/>
          <w:numId w:val="1"/>
        </w:numPr>
        <w:spacing w:after="0" w:line="240" w:lineRule="auto"/>
        <w:ind w:left="2127" w:hanging="1047"/>
        <w:jc w:val="both"/>
        <w:rPr>
          <w:rFonts w:ascii="Arial" w:eastAsia="Arial" w:hAnsi="Arial" w:cs="Arial"/>
        </w:rPr>
      </w:pPr>
      <w:bookmarkStart w:id="0" w:name="_dnp9awg6q6ag" w:colFirst="0" w:colLast="0"/>
      <w:bookmarkEnd w:id="0"/>
      <w:r>
        <w:rPr>
          <w:rFonts w:ascii="Arial" w:eastAsia="Arial" w:hAnsi="Arial" w:cs="Arial"/>
        </w:rPr>
        <w:t>Gerência de tecnologia da informação;</w:t>
      </w:r>
    </w:p>
    <w:p w14:paraId="416A82FF" w14:textId="77777777" w:rsidR="00947460" w:rsidRDefault="00947460">
      <w:pPr>
        <w:spacing w:after="0" w:line="240" w:lineRule="auto"/>
        <w:ind w:left="2127"/>
        <w:jc w:val="both"/>
        <w:rPr>
          <w:rFonts w:ascii="Arial" w:eastAsia="Arial" w:hAnsi="Arial" w:cs="Arial"/>
        </w:rPr>
      </w:pPr>
    </w:p>
    <w:p w14:paraId="2E304190" w14:textId="77777777" w:rsidR="00947460"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Gerência de segurança da informação;</w:t>
      </w:r>
    </w:p>
    <w:p w14:paraId="0C4FEB63" w14:textId="77777777" w:rsidR="00947460" w:rsidRDefault="00947460">
      <w:pPr>
        <w:spacing w:after="0" w:line="240" w:lineRule="auto"/>
        <w:ind w:left="2127"/>
        <w:jc w:val="both"/>
        <w:rPr>
          <w:rFonts w:ascii="Arial" w:eastAsia="Arial" w:hAnsi="Arial" w:cs="Arial"/>
        </w:rPr>
      </w:pPr>
    </w:p>
    <w:p w14:paraId="7105DFAC" w14:textId="77777777" w:rsidR="00947460"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Gerência de recursos humanos;</w:t>
      </w:r>
    </w:p>
    <w:p w14:paraId="0962B7DB" w14:textId="77777777" w:rsidR="00947460" w:rsidRDefault="00947460">
      <w:pPr>
        <w:spacing w:after="0" w:line="240" w:lineRule="auto"/>
        <w:ind w:left="2127"/>
        <w:jc w:val="both"/>
        <w:rPr>
          <w:rFonts w:ascii="Arial" w:eastAsia="Arial" w:hAnsi="Arial" w:cs="Arial"/>
        </w:rPr>
      </w:pPr>
    </w:p>
    <w:p w14:paraId="2B341577" w14:textId="77777777" w:rsidR="00947460"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Gerência jurídica.</w:t>
      </w:r>
    </w:p>
    <w:p w14:paraId="082845F5" w14:textId="77777777" w:rsidR="00947460" w:rsidRDefault="00947460">
      <w:pPr>
        <w:pBdr>
          <w:top w:val="nil"/>
          <w:left w:val="nil"/>
          <w:bottom w:val="nil"/>
          <w:right w:val="nil"/>
          <w:between w:val="nil"/>
        </w:pBdr>
        <w:spacing w:after="0"/>
        <w:ind w:left="720"/>
        <w:rPr>
          <w:rFonts w:ascii="Arial" w:eastAsia="Arial" w:hAnsi="Arial" w:cs="Arial"/>
          <w:color w:val="000000"/>
        </w:rPr>
      </w:pPr>
    </w:p>
    <w:p w14:paraId="0C1085AC" w14:textId="64139C26" w:rsidR="00947460" w:rsidRDefault="005F5F03">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sidRPr="005F5F03">
        <w:rPr>
          <w:rFonts w:ascii="Arial" w:eastAsia="Arial" w:hAnsi="Arial" w:cs="Arial"/>
          <w:color w:val="000000"/>
        </w:rPr>
        <w:t>Conforme a natureza do incidente, colaboradores de qualquer setor da Empresa de Caminhões podem ser convocados a participar do time de resposta a incidentes de segurança da informação</w:t>
      </w:r>
      <w:r w:rsidR="00000000">
        <w:rPr>
          <w:rFonts w:ascii="Arial" w:eastAsia="Arial" w:hAnsi="Arial" w:cs="Arial"/>
          <w:color w:val="000000"/>
        </w:rPr>
        <w:t>.</w:t>
      </w:r>
    </w:p>
    <w:p w14:paraId="70E4DDC4" w14:textId="77777777" w:rsidR="00947460" w:rsidRDefault="00947460">
      <w:pPr>
        <w:spacing w:after="0" w:line="240" w:lineRule="auto"/>
        <w:jc w:val="both"/>
        <w:rPr>
          <w:rFonts w:ascii="Arial" w:eastAsia="Arial" w:hAnsi="Arial" w:cs="Arial"/>
        </w:rPr>
      </w:pPr>
    </w:p>
    <w:p w14:paraId="171C9095"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Disseminação de informação sobre incidentes de segurança da informação</w:t>
      </w:r>
    </w:p>
    <w:p w14:paraId="3DE358A7" w14:textId="77777777" w:rsidR="00947460" w:rsidRDefault="00947460">
      <w:pPr>
        <w:spacing w:after="0" w:line="240" w:lineRule="auto"/>
        <w:ind w:left="284"/>
        <w:jc w:val="both"/>
        <w:rPr>
          <w:rFonts w:ascii="Arial" w:eastAsia="Arial" w:hAnsi="Arial" w:cs="Arial"/>
        </w:rPr>
      </w:pPr>
    </w:p>
    <w:p w14:paraId="55CCE52B" w14:textId="037C5292" w:rsidR="00947460" w:rsidRDefault="005F5F03">
      <w:pPr>
        <w:numPr>
          <w:ilvl w:val="2"/>
          <w:numId w:val="1"/>
        </w:numPr>
        <w:pBdr>
          <w:top w:val="nil"/>
          <w:left w:val="nil"/>
          <w:bottom w:val="nil"/>
          <w:right w:val="nil"/>
          <w:between w:val="nil"/>
        </w:pBdr>
        <w:spacing w:after="0" w:line="240" w:lineRule="auto"/>
        <w:ind w:left="1418" w:hanging="698"/>
        <w:jc w:val="both"/>
        <w:rPr>
          <w:rFonts w:ascii="Arial" w:eastAsia="Arial" w:hAnsi="Arial" w:cs="Arial"/>
          <w:color w:val="000000"/>
        </w:rPr>
      </w:pPr>
      <w:r w:rsidRPr="005F5F03">
        <w:rPr>
          <w:rFonts w:ascii="Arial" w:eastAsia="Arial" w:hAnsi="Arial" w:cs="Arial"/>
          <w:color w:val="000000"/>
        </w:rPr>
        <w:t>Nenhum tipo de informação sobre incidentes e ocorrências de segurança da informação poderá ser divulgado para entidades ou pessoas externas à Empresa de Caminhões sem aprovação expressa e formal da diretoria</w:t>
      </w:r>
      <w:r w:rsidR="00000000">
        <w:rPr>
          <w:rFonts w:ascii="Arial" w:eastAsia="Arial" w:hAnsi="Arial" w:cs="Arial"/>
          <w:color w:val="000000"/>
        </w:rPr>
        <w:t>.</w:t>
      </w:r>
    </w:p>
    <w:p w14:paraId="30808F0B" w14:textId="77777777" w:rsidR="00947460" w:rsidRDefault="00947460">
      <w:pPr>
        <w:pBdr>
          <w:top w:val="nil"/>
          <w:left w:val="nil"/>
          <w:bottom w:val="nil"/>
          <w:right w:val="nil"/>
          <w:between w:val="nil"/>
        </w:pBdr>
        <w:spacing w:after="0" w:line="240" w:lineRule="auto"/>
        <w:ind w:left="1418"/>
        <w:jc w:val="both"/>
        <w:rPr>
          <w:rFonts w:ascii="Arial" w:eastAsia="Arial" w:hAnsi="Arial" w:cs="Arial"/>
          <w:color w:val="000000"/>
        </w:rPr>
      </w:pPr>
    </w:p>
    <w:p w14:paraId="4EFC6C77"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Papéis e Responsabilidades</w:t>
      </w:r>
    </w:p>
    <w:p w14:paraId="44D9F868" w14:textId="77777777" w:rsidR="00947460" w:rsidRDefault="00947460">
      <w:pPr>
        <w:spacing w:after="0" w:line="240" w:lineRule="auto"/>
        <w:ind w:left="-426"/>
        <w:jc w:val="both"/>
        <w:rPr>
          <w:rFonts w:ascii="Arial" w:eastAsia="Arial" w:hAnsi="Arial" w:cs="Arial"/>
        </w:rPr>
      </w:pPr>
    </w:p>
    <w:p w14:paraId="791B8C30"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GERÊNCIA DE SEGURANÇA DA INFORMAÇÃO</w:t>
      </w:r>
    </w:p>
    <w:p w14:paraId="30DE088C" w14:textId="77777777" w:rsidR="00947460" w:rsidRDefault="00947460">
      <w:pPr>
        <w:spacing w:after="0" w:line="240" w:lineRule="auto"/>
        <w:ind w:left="1224"/>
        <w:jc w:val="both"/>
        <w:rPr>
          <w:rFonts w:ascii="Arial" w:eastAsia="Arial" w:hAnsi="Arial" w:cs="Arial"/>
        </w:rPr>
      </w:pPr>
    </w:p>
    <w:p w14:paraId="50FAA71E" w14:textId="77777777" w:rsidR="00947460" w:rsidRDefault="00000000">
      <w:pPr>
        <w:numPr>
          <w:ilvl w:val="2"/>
          <w:numId w:val="1"/>
        </w:numPr>
        <w:spacing w:after="0" w:line="240" w:lineRule="auto"/>
        <w:jc w:val="both"/>
        <w:rPr>
          <w:rFonts w:ascii="Arial" w:eastAsia="Arial" w:hAnsi="Arial" w:cs="Arial"/>
        </w:rPr>
      </w:pPr>
      <w:r>
        <w:rPr>
          <w:rFonts w:ascii="Arial" w:eastAsia="Arial" w:hAnsi="Arial" w:cs="Arial"/>
        </w:rPr>
        <w:t>É responsabilidade da GERÊNCIA DE SEGURANÇA DA INFORMAÇÃO:</w:t>
      </w:r>
    </w:p>
    <w:p w14:paraId="3AEA15F2" w14:textId="77777777" w:rsidR="00947460" w:rsidRDefault="00947460">
      <w:pPr>
        <w:spacing w:after="0" w:line="240" w:lineRule="auto"/>
        <w:ind w:left="1728"/>
        <w:jc w:val="both"/>
        <w:rPr>
          <w:rFonts w:ascii="Arial" w:eastAsia="Arial" w:hAnsi="Arial" w:cs="Arial"/>
        </w:rPr>
      </w:pPr>
    </w:p>
    <w:p w14:paraId="4158BBE8" w14:textId="07220BA0" w:rsidR="00947460" w:rsidRDefault="005F5F03">
      <w:pPr>
        <w:numPr>
          <w:ilvl w:val="3"/>
          <w:numId w:val="1"/>
        </w:numPr>
        <w:spacing w:after="0" w:line="240" w:lineRule="auto"/>
        <w:ind w:left="2127" w:hanging="1047"/>
        <w:jc w:val="both"/>
        <w:rPr>
          <w:rFonts w:ascii="Arial" w:eastAsia="Arial" w:hAnsi="Arial" w:cs="Arial"/>
        </w:rPr>
      </w:pPr>
      <w:r w:rsidRPr="005F5F03">
        <w:rPr>
          <w:rFonts w:ascii="Arial" w:eastAsia="Arial" w:hAnsi="Arial" w:cs="Arial"/>
        </w:rPr>
        <w:t>Atuar como responsável por ocorrências e eventos de segurança e garantir a existência de recursos para identificar, escalar, mitigar, conter, e erradicar incidentes de segurança, bem como ações efetivas para recuperar o estado anterior de ativos/serviços de informação ou recursos computacionais afetados pelo incidente</w:t>
      </w:r>
      <w:r w:rsidR="00000000">
        <w:rPr>
          <w:rFonts w:ascii="Arial" w:eastAsia="Arial" w:hAnsi="Arial" w:cs="Arial"/>
        </w:rPr>
        <w:t>;</w:t>
      </w:r>
    </w:p>
    <w:p w14:paraId="042D88B4" w14:textId="77777777" w:rsidR="00947460" w:rsidRDefault="00947460">
      <w:pPr>
        <w:spacing w:after="0" w:line="240" w:lineRule="auto"/>
        <w:ind w:left="2127"/>
        <w:jc w:val="both"/>
        <w:rPr>
          <w:rFonts w:ascii="Arial" w:eastAsia="Arial" w:hAnsi="Arial" w:cs="Arial"/>
        </w:rPr>
      </w:pPr>
    </w:p>
    <w:p w14:paraId="61E21790" w14:textId="605E4981" w:rsidR="00947460" w:rsidRDefault="005F5F03">
      <w:pPr>
        <w:numPr>
          <w:ilvl w:val="3"/>
          <w:numId w:val="1"/>
        </w:numPr>
        <w:spacing w:after="0" w:line="240" w:lineRule="auto"/>
        <w:ind w:left="2127" w:hanging="1047"/>
        <w:jc w:val="both"/>
        <w:rPr>
          <w:rFonts w:ascii="Arial" w:eastAsia="Arial" w:hAnsi="Arial" w:cs="Arial"/>
        </w:rPr>
      </w:pPr>
      <w:r w:rsidRPr="005F5F03">
        <w:rPr>
          <w:rFonts w:ascii="Arial" w:eastAsia="Arial" w:hAnsi="Arial" w:cs="Arial"/>
        </w:rPr>
        <w:t>Comunicar prontamente o time de resposta a incidentes de segurança da informação da Empresa de Caminhões sobre eventos e incidentes de segurança</w:t>
      </w:r>
      <w:r w:rsidR="00000000">
        <w:rPr>
          <w:rFonts w:ascii="Arial" w:eastAsia="Arial" w:hAnsi="Arial" w:cs="Arial"/>
        </w:rPr>
        <w:t>.</w:t>
      </w:r>
    </w:p>
    <w:p w14:paraId="39AED5AA" w14:textId="77777777" w:rsidR="00947460" w:rsidRDefault="00947460">
      <w:pPr>
        <w:spacing w:after="0" w:line="240" w:lineRule="auto"/>
        <w:ind w:left="-426"/>
        <w:jc w:val="both"/>
        <w:rPr>
          <w:rFonts w:ascii="Arial" w:eastAsia="Arial" w:hAnsi="Arial" w:cs="Arial"/>
        </w:rPr>
      </w:pPr>
    </w:p>
    <w:p w14:paraId="0347B93F" w14:textId="6C7B10F7" w:rsidR="00947460" w:rsidRDefault="00947460">
      <w:pPr>
        <w:rPr>
          <w:rFonts w:ascii="Arial" w:eastAsia="Arial" w:hAnsi="Arial" w:cs="Arial"/>
          <w:b/>
          <w:bCs/>
        </w:rPr>
      </w:pPr>
    </w:p>
    <w:p w14:paraId="719A5B3C"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TIME DE RESPOSTA A INCIDENTES DE SEGURANÇA DA INFORMAÇÃO</w:t>
      </w:r>
    </w:p>
    <w:p w14:paraId="49AAF33A" w14:textId="77777777" w:rsidR="00947460" w:rsidRDefault="00947460">
      <w:pPr>
        <w:spacing w:after="0" w:line="240" w:lineRule="auto"/>
        <w:ind w:left="1224"/>
        <w:jc w:val="both"/>
        <w:rPr>
          <w:rFonts w:ascii="Arial" w:eastAsia="Arial" w:hAnsi="Arial" w:cs="Arial"/>
        </w:rPr>
      </w:pPr>
    </w:p>
    <w:p w14:paraId="3E41CE2A" w14:textId="379064C8" w:rsidR="00947460" w:rsidRDefault="005F5F03">
      <w:pPr>
        <w:numPr>
          <w:ilvl w:val="2"/>
          <w:numId w:val="1"/>
        </w:numPr>
        <w:spacing w:after="0" w:line="240" w:lineRule="auto"/>
        <w:jc w:val="both"/>
        <w:rPr>
          <w:rFonts w:ascii="Arial" w:eastAsia="Arial" w:hAnsi="Arial" w:cs="Arial"/>
        </w:rPr>
      </w:pPr>
      <w:r w:rsidRPr="005F5F03">
        <w:rPr>
          <w:rFonts w:ascii="Arial" w:eastAsia="Arial" w:hAnsi="Arial" w:cs="Arial"/>
        </w:rPr>
        <w:t>É responsabilidade do Time de Resposta a Incidentes de Segurança da Informação</w:t>
      </w:r>
      <w:r w:rsidR="00000000">
        <w:rPr>
          <w:rFonts w:ascii="Arial" w:eastAsia="Arial" w:hAnsi="Arial" w:cs="Arial"/>
        </w:rPr>
        <w:t>:</w:t>
      </w:r>
    </w:p>
    <w:p w14:paraId="7D8EEFC7" w14:textId="77777777" w:rsidR="00947460" w:rsidRDefault="00947460">
      <w:pPr>
        <w:spacing w:after="0" w:line="240" w:lineRule="auto"/>
        <w:ind w:left="1728"/>
        <w:jc w:val="both"/>
        <w:rPr>
          <w:rFonts w:ascii="Arial" w:eastAsia="Arial" w:hAnsi="Arial" w:cs="Arial"/>
        </w:rPr>
      </w:pPr>
    </w:p>
    <w:p w14:paraId="6F91B348" w14:textId="5FA4FA13" w:rsidR="00947460" w:rsidRDefault="005F5F03">
      <w:pPr>
        <w:numPr>
          <w:ilvl w:val="3"/>
          <w:numId w:val="1"/>
        </w:numPr>
        <w:spacing w:after="0" w:line="240" w:lineRule="auto"/>
        <w:ind w:left="2127" w:hanging="1047"/>
        <w:jc w:val="both"/>
        <w:rPr>
          <w:rFonts w:ascii="Arial" w:eastAsia="Arial" w:hAnsi="Arial" w:cs="Arial"/>
        </w:rPr>
      </w:pPr>
      <w:r w:rsidRPr="005F5F03">
        <w:rPr>
          <w:rFonts w:ascii="Arial" w:eastAsia="Arial" w:hAnsi="Arial" w:cs="Arial"/>
        </w:rPr>
        <w:t>Apoiar a equipe de segurança da informação no tratamento de ocorrências e incidentes de segurança da informação, fornecendo orientação e direcionamento estratégico dentro da área de especialidade de cada um dos participantes do time de resposta a incidentes de segurança da informação</w:t>
      </w:r>
      <w:r w:rsidR="00000000">
        <w:rPr>
          <w:rFonts w:ascii="Arial" w:eastAsia="Arial" w:hAnsi="Arial" w:cs="Arial"/>
        </w:rPr>
        <w:t>;</w:t>
      </w:r>
    </w:p>
    <w:p w14:paraId="4397B316" w14:textId="77777777" w:rsidR="00947460" w:rsidRDefault="00947460">
      <w:pPr>
        <w:spacing w:after="0" w:line="240" w:lineRule="auto"/>
        <w:ind w:left="2127"/>
        <w:jc w:val="both"/>
        <w:rPr>
          <w:rFonts w:ascii="Arial" w:eastAsia="Arial" w:hAnsi="Arial" w:cs="Arial"/>
        </w:rPr>
      </w:pPr>
    </w:p>
    <w:p w14:paraId="2DBE3C6B" w14:textId="399551B5" w:rsidR="00947460" w:rsidRDefault="005F5F03">
      <w:pPr>
        <w:numPr>
          <w:ilvl w:val="3"/>
          <w:numId w:val="1"/>
        </w:numPr>
        <w:spacing w:after="0" w:line="240" w:lineRule="auto"/>
        <w:ind w:left="2127" w:hanging="1047"/>
        <w:jc w:val="both"/>
        <w:rPr>
          <w:rFonts w:ascii="Arial" w:eastAsia="Arial" w:hAnsi="Arial" w:cs="Arial"/>
        </w:rPr>
      </w:pPr>
      <w:r w:rsidRPr="005F5F03">
        <w:rPr>
          <w:rFonts w:ascii="Arial" w:eastAsia="Arial" w:hAnsi="Arial" w:cs="Arial"/>
        </w:rPr>
        <w:t>Aconselhar a diretoria da Empresa de Caminhões sobre quais informações sobre eventos e incidentes de segurança da informação podem ser divulgadas para públicos internos e externos</w:t>
      </w:r>
      <w:r w:rsidR="00000000">
        <w:rPr>
          <w:rFonts w:ascii="Arial" w:eastAsia="Arial" w:hAnsi="Arial" w:cs="Arial"/>
        </w:rPr>
        <w:t>.</w:t>
      </w:r>
    </w:p>
    <w:p w14:paraId="76209E26" w14:textId="77777777" w:rsidR="00947460" w:rsidRDefault="00947460">
      <w:pPr>
        <w:spacing w:after="0" w:line="240" w:lineRule="auto"/>
        <w:ind w:left="-426"/>
        <w:jc w:val="both"/>
        <w:rPr>
          <w:rFonts w:ascii="Arial" w:eastAsia="Arial" w:hAnsi="Arial" w:cs="Arial"/>
        </w:rPr>
      </w:pPr>
    </w:p>
    <w:p w14:paraId="5C600A5E"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COMUNICAÇÃO</w:t>
      </w:r>
    </w:p>
    <w:p w14:paraId="6B7AAE02" w14:textId="77777777" w:rsidR="00947460" w:rsidRDefault="00947460">
      <w:pPr>
        <w:spacing w:after="0" w:line="240" w:lineRule="auto"/>
        <w:ind w:left="1224"/>
        <w:jc w:val="both"/>
        <w:rPr>
          <w:rFonts w:ascii="Arial" w:eastAsia="Arial" w:hAnsi="Arial" w:cs="Arial"/>
        </w:rPr>
      </w:pPr>
    </w:p>
    <w:p w14:paraId="5C727836" w14:textId="77777777" w:rsidR="00947460" w:rsidRDefault="00000000">
      <w:pPr>
        <w:numPr>
          <w:ilvl w:val="2"/>
          <w:numId w:val="1"/>
        </w:numPr>
        <w:spacing w:after="0" w:line="240" w:lineRule="auto"/>
        <w:jc w:val="both"/>
        <w:rPr>
          <w:rFonts w:ascii="Arial" w:eastAsia="Arial" w:hAnsi="Arial" w:cs="Arial"/>
        </w:rPr>
      </w:pPr>
      <w:bookmarkStart w:id="1" w:name="_51ndgsrsn27n" w:colFirst="0" w:colLast="0"/>
      <w:bookmarkEnd w:id="1"/>
      <w:r>
        <w:rPr>
          <w:rFonts w:ascii="Arial" w:eastAsia="Arial" w:hAnsi="Arial" w:cs="Arial"/>
        </w:rPr>
        <w:t>É responsabilidade da GERÊNCIA DE COMUNICAÇÃO:</w:t>
      </w:r>
    </w:p>
    <w:p w14:paraId="2E7AA8A1" w14:textId="77777777" w:rsidR="00947460" w:rsidRDefault="00947460">
      <w:pPr>
        <w:spacing w:after="0" w:line="240" w:lineRule="auto"/>
        <w:ind w:left="1728"/>
        <w:jc w:val="both"/>
        <w:rPr>
          <w:rFonts w:ascii="Arial" w:eastAsia="Arial" w:hAnsi="Arial" w:cs="Arial"/>
        </w:rPr>
      </w:pPr>
    </w:p>
    <w:p w14:paraId="32A3E961" w14:textId="77777777" w:rsidR="00947460"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 xml:space="preserve">Aprovar qualquer tipo de comunicação ou disseminação total ou parcial de informações sobre ocorrências e incidentes de segurança da informação para qualquer parte ou público. </w:t>
      </w:r>
    </w:p>
    <w:p w14:paraId="553CED41" w14:textId="77777777" w:rsidR="00947460" w:rsidRDefault="00947460">
      <w:pPr>
        <w:spacing w:after="0" w:line="240" w:lineRule="auto"/>
        <w:ind w:left="-426"/>
        <w:jc w:val="both"/>
        <w:rPr>
          <w:rFonts w:ascii="Arial" w:eastAsia="Arial" w:hAnsi="Arial" w:cs="Arial"/>
        </w:rPr>
      </w:pPr>
    </w:p>
    <w:p w14:paraId="1D66A73D"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Sanções e Punições</w:t>
      </w:r>
    </w:p>
    <w:p w14:paraId="062A93B9" w14:textId="77777777" w:rsidR="00947460" w:rsidRDefault="00947460">
      <w:pPr>
        <w:spacing w:after="0" w:line="240" w:lineRule="auto"/>
        <w:ind w:left="-426"/>
        <w:jc w:val="both"/>
        <w:rPr>
          <w:rFonts w:ascii="Arial" w:eastAsia="Arial" w:hAnsi="Arial" w:cs="Arial"/>
          <w:b/>
          <w:bCs/>
        </w:rPr>
      </w:pPr>
    </w:p>
    <w:p w14:paraId="2A71DB67" w14:textId="77777777" w:rsidR="00947460" w:rsidRDefault="00000000">
      <w:pPr>
        <w:numPr>
          <w:ilvl w:val="1"/>
          <w:numId w:val="1"/>
        </w:numPr>
        <w:spacing w:after="0" w:line="240" w:lineRule="auto"/>
        <w:ind w:left="284"/>
        <w:jc w:val="both"/>
        <w:rPr>
          <w:rFonts w:ascii="Arial" w:eastAsia="Arial" w:hAnsi="Arial" w:cs="Arial"/>
        </w:rPr>
      </w:pPr>
      <w:r>
        <w:rPr>
          <w:rFonts w:ascii="Arial" w:eastAsia="Arial" w:hAnsi="Arial" w:cs="Arial"/>
        </w:rPr>
        <w:t>Sanções e punições serão aplicadas conforme previsto na Política Geral de Segurança da Informação.</w:t>
      </w:r>
    </w:p>
    <w:p w14:paraId="6CFAC4EC" w14:textId="77777777" w:rsidR="00947460" w:rsidRDefault="00947460">
      <w:pPr>
        <w:spacing w:after="0" w:line="240" w:lineRule="auto"/>
        <w:ind w:left="284"/>
        <w:jc w:val="both"/>
        <w:rPr>
          <w:rFonts w:ascii="Arial" w:eastAsia="Arial" w:hAnsi="Arial" w:cs="Arial"/>
        </w:rPr>
      </w:pPr>
    </w:p>
    <w:p w14:paraId="6B618F03"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Revisões</w:t>
      </w:r>
    </w:p>
    <w:p w14:paraId="18B85AE8" w14:textId="77777777" w:rsidR="00947460" w:rsidRDefault="00947460">
      <w:pPr>
        <w:spacing w:after="0" w:line="240" w:lineRule="auto"/>
        <w:ind w:left="-426"/>
        <w:jc w:val="both"/>
        <w:rPr>
          <w:rFonts w:ascii="Arial" w:eastAsia="Arial" w:hAnsi="Arial" w:cs="Arial"/>
        </w:rPr>
      </w:pPr>
    </w:p>
    <w:p w14:paraId="738430A6" w14:textId="77777777" w:rsidR="00947460" w:rsidRDefault="00000000">
      <w:pPr>
        <w:numPr>
          <w:ilvl w:val="1"/>
          <w:numId w:val="1"/>
        </w:numPr>
        <w:spacing w:after="0" w:line="240" w:lineRule="auto"/>
        <w:ind w:left="426" w:hanging="574"/>
        <w:jc w:val="both"/>
        <w:rPr>
          <w:rFonts w:ascii="Arial" w:eastAsia="Arial" w:hAnsi="Arial" w:cs="Arial"/>
        </w:rPr>
      </w:pPr>
      <w:r>
        <w:rPr>
          <w:rFonts w:ascii="Arial" w:eastAsia="Arial" w:hAnsi="Arial" w:cs="Arial"/>
        </w:rPr>
        <w:t>Esta norma é revisada com periodicidade anual ou conforme o entendimento do Comitê Gestor de Segurança da Informação.</w:t>
      </w:r>
    </w:p>
    <w:p w14:paraId="314B3D40" w14:textId="77777777" w:rsidR="00947460" w:rsidRDefault="00947460">
      <w:pPr>
        <w:spacing w:after="0" w:line="240" w:lineRule="auto"/>
        <w:ind w:left="-426"/>
        <w:jc w:val="both"/>
        <w:rPr>
          <w:rFonts w:ascii="Arial" w:eastAsia="Arial" w:hAnsi="Arial" w:cs="Arial"/>
          <w:b/>
          <w:bCs/>
        </w:rPr>
      </w:pPr>
    </w:p>
    <w:p w14:paraId="2E799E49" w14:textId="77777777" w:rsidR="00947460"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Gestão da Norma</w:t>
      </w:r>
    </w:p>
    <w:p w14:paraId="0ABA2ECA" w14:textId="77777777" w:rsidR="00947460" w:rsidRDefault="00947460">
      <w:pPr>
        <w:spacing w:after="0" w:line="240" w:lineRule="auto"/>
        <w:ind w:left="-426"/>
        <w:jc w:val="both"/>
        <w:rPr>
          <w:rFonts w:ascii="Arial" w:eastAsia="Arial" w:hAnsi="Arial" w:cs="Arial"/>
        </w:rPr>
      </w:pPr>
    </w:p>
    <w:p w14:paraId="23A1ADD0" w14:textId="18463D26" w:rsidR="00947460" w:rsidRDefault="005F5F03">
      <w:pPr>
        <w:numPr>
          <w:ilvl w:val="1"/>
          <w:numId w:val="1"/>
        </w:numPr>
        <w:spacing w:after="0" w:line="240" w:lineRule="auto"/>
        <w:ind w:left="426" w:hanging="574"/>
        <w:jc w:val="both"/>
        <w:rPr>
          <w:rFonts w:ascii="Arial" w:eastAsia="Arial" w:hAnsi="Arial" w:cs="Arial"/>
        </w:rPr>
      </w:pPr>
      <w:r w:rsidRPr="005F5F03">
        <w:rPr>
          <w:rFonts w:ascii="Arial" w:eastAsia="Arial" w:hAnsi="Arial" w:cs="Arial"/>
        </w:rPr>
        <w:t>A norma N-SI-010-SGCI é aprovada pelo Comitê Gestor de Segurança da Informação, em conjunto com a Diretoria da Empresa de Caminhões</w:t>
      </w:r>
      <w:r w:rsidR="00000000">
        <w:rPr>
          <w:rFonts w:ascii="Arial" w:eastAsia="Arial" w:hAnsi="Arial" w:cs="Arial"/>
        </w:rPr>
        <w:t>.</w:t>
      </w:r>
    </w:p>
    <w:p w14:paraId="0C95C168" w14:textId="77777777" w:rsidR="00947460" w:rsidRDefault="00947460">
      <w:pPr>
        <w:spacing w:after="0" w:line="240" w:lineRule="auto"/>
        <w:ind w:left="426"/>
        <w:jc w:val="both"/>
        <w:rPr>
          <w:rFonts w:ascii="Arial" w:eastAsia="Arial" w:hAnsi="Arial" w:cs="Arial"/>
        </w:rPr>
      </w:pPr>
    </w:p>
    <w:p w14:paraId="1A192310" w14:textId="6BEF145B" w:rsidR="00947460" w:rsidRDefault="007467F9">
      <w:pPr>
        <w:pBdr>
          <w:top w:val="nil"/>
          <w:left w:val="nil"/>
          <w:bottom w:val="nil"/>
          <w:right w:val="nil"/>
          <w:between w:val="nil"/>
        </w:pBdr>
        <w:spacing w:after="0" w:line="240" w:lineRule="auto"/>
        <w:ind w:left="720"/>
        <w:rPr>
          <w:rFonts w:ascii="Arial" w:eastAsia="Arial" w:hAnsi="Arial" w:cs="Arial"/>
          <w:color w:val="000000"/>
        </w:rPr>
      </w:pPr>
      <w:r w:rsidRPr="007467F9">
        <w:rPr>
          <w:rFonts w:ascii="Arial" w:eastAsia="Arial" w:hAnsi="Arial" w:cs="Arial"/>
        </w:rPr>
        <w:t>A presente norma foi aprovada no dia 27/01/2017 (data original, a ser atualizada conforme aprovação interna do SGCI</w:t>
      </w:r>
      <w:r>
        <w:rPr>
          <w:rFonts w:ascii="Arial" w:eastAsia="Arial" w:hAnsi="Arial" w:cs="Arial"/>
        </w:rPr>
        <w:t>)</w:t>
      </w:r>
    </w:p>
    <w:tbl>
      <w:tblPr>
        <w:tblStyle w:val="a"/>
        <w:tblW w:w="10018"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5013"/>
        <w:gridCol w:w="236"/>
        <w:gridCol w:w="4769"/>
      </w:tblGrid>
      <w:tr w:rsidR="00947460" w14:paraId="3A585B1D" w14:textId="77777777">
        <w:tc>
          <w:tcPr>
            <w:tcW w:w="5015" w:type="dxa"/>
            <w:tcBorders>
              <w:bottom w:val="single" w:sz="4" w:space="0" w:color="000000"/>
            </w:tcBorders>
          </w:tcPr>
          <w:p w14:paraId="5162CD24" w14:textId="77777777" w:rsidR="00947460" w:rsidRDefault="00947460">
            <w:pPr>
              <w:jc w:val="both"/>
              <w:rPr>
                <w:rFonts w:ascii="Arial" w:eastAsia="Arial" w:hAnsi="Arial" w:cs="Arial"/>
              </w:rPr>
            </w:pPr>
          </w:p>
          <w:p w14:paraId="5664BDFC" w14:textId="77777777" w:rsidR="00947460" w:rsidRDefault="00947460">
            <w:pPr>
              <w:jc w:val="both"/>
              <w:rPr>
                <w:rFonts w:ascii="Arial" w:eastAsia="Arial" w:hAnsi="Arial" w:cs="Arial"/>
              </w:rPr>
            </w:pPr>
          </w:p>
          <w:p w14:paraId="71D95991" w14:textId="77777777" w:rsidR="00947460" w:rsidRDefault="00000000">
            <w:pPr>
              <w:jc w:val="both"/>
              <w:rPr>
                <w:rFonts w:ascii="Arial" w:eastAsia="Arial" w:hAnsi="Arial" w:cs="Arial"/>
              </w:rPr>
            </w:pPr>
            <w:r>
              <w:rPr>
                <w:rFonts w:ascii="Arial" w:eastAsia="Arial" w:hAnsi="Arial" w:cs="Arial"/>
                <w:noProof/>
              </w:rPr>
              <w:drawing>
                <wp:inline distT="114300" distB="114300" distL="114300" distR="114300" wp14:anchorId="07D412D6" wp14:editId="6DE34314">
                  <wp:extent cx="2371725" cy="82995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371725" cy="829953"/>
                          </a:xfrm>
                          <a:prstGeom prst="rect">
                            <a:avLst/>
                          </a:prstGeom>
                          <a:ln/>
                        </pic:spPr>
                      </pic:pic>
                    </a:graphicData>
                  </a:graphic>
                </wp:inline>
              </w:drawing>
            </w:r>
          </w:p>
        </w:tc>
        <w:tc>
          <w:tcPr>
            <w:tcW w:w="232" w:type="dxa"/>
          </w:tcPr>
          <w:p w14:paraId="3A4DF488" w14:textId="77777777" w:rsidR="00947460" w:rsidRDefault="00947460">
            <w:pPr>
              <w:jc w:val="both"/>
              <w:rPr>
                <w:rFonts w:ascii="Arial" w:eastAsia="Arial" w:hAnsi="Arial" w:cs="Arial"/>
              </w:rPr>
            </w:pPr>
          </w:p>
        </w:tc>
        <w:tc>
          <w:tcPr>
            <w:tcW w:w="4771" w:type="dxa"/>
            <w:tcBorders>
              <w:bottom w:val="single" w:sz="4" w:space="0" w:color="000000"/>
            </w:tcBorders>
          </w:tcPr>
          <w:p w14:paraId="5BAACBC3" w14:textId="77777777" w:rsidR="00947460" w:rsidRDefault="00947460">
            <w:pPr>
              <w:jc w:val="center"/>
              <w:rPr>
                <w:rFonts w:ascii="Arial" w:eastAsia="Arial" w:hAnsi="Arial" w:cs="Arial"/>
              </w:rPr>
            </w:pPr>
          </w:p>
          <w:p w14:paraId="4257E72F" w14:textId="15573717" w:rsidR="00947460" w:rsidRDefault="007467F9">
            <w:pPr>
              <w:jc w:val="center"/>
              <w:rPr>
                <w:rFonts w:ascii="Arial" w:eastAsia="Arial" w:hAnsi="Arial" w:cs="Arial"/>
              </w:rPr>
            </w:pPr>
            <w:r>
              <w:rPr>
                <w:rFonts w:ascii="Arial" w:eastAsia="Arial" w:hAnsi="Arial" w:cs="Arial"/>
                <w:noProof/>
              </w:rPr>
              <w:drawing>
                <wp:inline distT="0" distB="0" distL="0" distR="0" wp14:anchorId="4DE93C67" wp14:editId="6BF4E7E0">
                  <wp:extent cx="2886075" cy="762000"/>
                  <wp:effectExtent l="0" t="0" r="9525" b="0"/>
                  <wp:docPr id="15557946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762000"/>
                          </a:xfrm>
                          <a:prstGeom prst="rect">
                            <a:avLst/>
                          </a:prstGeom>
                          <a:noFill/>
                          <a:ln>
                            <a:noFill/>
                          </a:ln>
                        </pic:spPr>
                      </pic:pic>
                    </a:graphicData>
                  </a:graphic>
                </wp:inline>
              </w:drawing>
            </w:r>
          </w:p>
          <w:p w14:paraId="414CCCC4" w14:textId="26F73605" w:rsidR="00947460" w:rsidRDefault="00947460">
            <w:pPr>
              <w:jc w:val="center"/>
              <w:rPr>
                <w:rFonts w:ascii="Arial" w:eastAsia="Arial" w:hAnsi="Arial" w:cs="Arial"/>
              </w:rPr>
            </w:pPr>
          </w:p>
        </w:tc>
      </w:tr>
      <w:tr w:rsidR="00947460" w14:paraId="146D4E92" w14:textId="77777777">
        <w:tc>
          <w:tcPr>
            <w:tcW w:w="5015" w:type="dxa"/>
            <w:tcBorders>
              <w:top w:val="single" w:sz="4" w:space="0" w:color="000000"/>
            </w:tcBorders>
          </w:tcPr>
          <w:p w14:paraId="6AAC2E31" w14:textId="6177F3EC" w:rsidR="00947460" w:rsidRDefault="007467F9">
            <w:pPr>
              <w:jc w:val="both"/>
              <w:rPr>
                <w:rFonts w:ascii="Arial" w:eastAsia="Arial" w:hAnsi="Arial" w:cs="Arial"/>
              </w:rPr>
            </w:pPr>
            <w:r>
              <w:rPr>
                <w:rFonts w:ascii="Arial" w:eastAsia="Arial" w:hAnsi="Arial" w:cs="Arial"/>
              </w:rPr>
              <w:lastRenderedPageBreak/>
              <w:t xml:space="preserve">Peterson </w:t>
            </w:r>
            <w:proofErr w:type="spellStart"/>
            <w:r>
              <w:rPr>
                <w:rFonts w:ascii="Arial" w:eastAsia="Arial" w:hAnsi="Arial" w:cs="Arial"/>
              </w:rPr>
              <w:t>Wiggers</w:t>
            </w:r>
            <w:proofErr w:type="spellEnd"/>
            <w:r w:rsidR="00000000">
              <w:rPr>
                <w:rFonts w:ascii="Arial" w:eastAsia="Arial" w:hAnsi="Arial" w:cs="Arial"/>
              </w:rPr>
              <w:t xml:space="preserve"> – Presidente</w:t>
            </w:r>
          </w:p>
        </w:tc>
        <w:tc>
          <w:tcPr>
            <w:tcW w:w="232" w:type="dxa"/>
          </w:tcPr>
          <w:p w14:paraId="6A74F2A7" w14:textId="77777777" w:rsidR="00947460" w:rsidRDefault="00947460">
            <w:pPr>
              <w:jc w:val="both"/>
              <w:rPr>
                <w:rFonts w:ascii="Arial" w:eastAsia="Arial" w:hAnsi="Arial" w:cs="Arial"/>
              </w:rPr>
            </w:pPr>
          </w:p>
        </w:tc>
        <w:tc>
          <w:tcPr>
            <w:tcW w:w="4771" w:type="dxa"/>
            <w:tcBorders>
              <w:top w:val="single" w:sz="4" w:space="0" w:color="000000"/>
            </w:tcBorders>
          </w:tcPr>
          <w:p w14:paraId="238DDD3E" w14:textId="29E2D247" w:rsidR="00947460" w:rsidRDefault="007467F9">
            <w:pPr>
              <w:jc w:val="both"/>
              <w:rPr>
                <w:rFonts w:ascii="Arial" w:eastAsia="Arial" w:hAnsi="Arial" w:cs="Arial"/>
              </w:rPr>
            </w:pPr>
            <w:r>
              <w:rPr>
                <w:rFonts w:ascii="Arial" w:eastAsia="Arial" w:hAnsi="Arial" w:cs="Arial"/>
              </w:rPr>
              <w:t>Isaque Santos</w:t>
            </w:r>
            <w:r w:rsidR="00000000">
              <w:rPr>
                <w:rFonts w:ascii="Arial" w:eastAsia="Arial" w:hAnsi="Arial" w:cs="Arial"/>
              </w:rPr>
              <w:t xml:space="preserve"> – Vice-Presidente</w:t>
            </w:r>
          </w:p>
        </w:tc>
      </w:tr>
    </w:tbl>
    <w:p w14:paraId="406BEF9C" w14:textId="77777777" w:rsidR="00947460" w:rsidRDefault="00947460">
      <w:pPr>
        <w:spacing w:after="0" w:line="240" w:lineRule="auto"/>
        <w:rPr>
          <w:rFonts w:ascii="Arial" w:eastAsia="Arial" w:hAnsi="Arial" w:cs="Arial"/>
        </w:rPr>
      </w:pPr>
    </w:p>
    <w:sectPr w:rsidR="00947460">
      <w:headerReference w:type="default" r:id="rId9"/>
      <w:footerReference w:type="default" r:id="rId10"/>
      <w:pgSz w:w="11906" w:h="16838"/>
      <w:pgMar w:top="1417" w:right="72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46FC4" w14:textId="77777777" w:rsidR="00AF53CC" w:rsidRDefault="00AF53CC">
      <w:pPr>
        <w:spacing w:after="0" w:line="240" w:lineRule="auto"/>
      </w:pPr>
      <w:r>
        <w:separator/>
      </w:r>
    </w:p>
  </w:endnote>
  <w:endnote w:type="continuationSeparator" w:id="0">
    <w:p w14:paraId="3CE53ABA" w14:textId="77777777" w:rsidR="00AF53CC" w:rsidRDefault="00AF5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BCD1120-490E-4E4F-ADE2-76F4B9AF6BFF}"/>
    <w:embedBold r:id="rId2" w:fontKey="{04D94407-C810-48B7-BEC2-56C5F1A26789}"/>
  </w:font>
  <w:font w:name="Georgia">
    <w:panose1 w:val="02040502050405020303"/>
    <w:charset w:val="00"/>
    <w:family w:val="roman"/>
    <w:pitch w:val="variable"/>
    <w:sig w:usb0="00000287" w:usb1="00000000" w:usb2="00000000" w:usb3="00000000" w:csb0="0000009F" w:csb1="00000000"/>
    <w:embedItalic r:id="rId3" w:fontKey="{4C404CA9-DBBC-4CAF-B6F9-B32EE1B09D4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10F9CAF4-D335-4EBC-8604-6ECB83C7E4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FF12" w14:textId="77777777" w:rsidR="00947460" w:rsidRDefault="00947460">
    <w:pPr>
      <w:widowControl w:val="0"/>
      <w:pBdr>
        <w:top w:val="nil"/>
        <w:left w:val="nil"/>
        <w:bottom w:val="nil"/>
        <w:right w:val="nil"/>
        <w:between w:val="nil"/>
      </w:pBdr>
      <w:spacing w:after="0"/>
      <w:rPr>
        <w:color w:val="000000"/>
      </w:rPr>
    </w:pPr>
  </w:p>
  <w:tbl>
    <w:tblPr>
      <w:tblStyle w:val="a1"/>
      <w:tblW w:w="864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330"/>
      <w:gridCol w:w="314"/>
    </w:tblGrid>
    <w:tr w:rsidR="00947460" w14:paraId="347CD3C0" w14:textId="77777777">
      <w:tc>
        <w:tcPr>
          <w:tcW w:w="8330" w:type="dxa"/>
          <w:tcBorders>
            <w:bottom w:val="single" w:sz="4" w:space="0" w:color="000000"/>
          </w:tcBorders>
        </w:tcPr>
        <w:p w14:paraId="4A2E2809" w14:textId="77777777" w:rsidR="00947460" w:rsidRDefault="00000000">
          <w:pPr>
            <w:pBdr>
              <w:top w:val="nil"/>
              <w:left w:val="nil"/>
              <w:bottom w:val="nil"/>
              <w:right w:val="nil"/>
              <w:between w:val="nil"/>
            </w:pBdr>
            <w:tabs>
              <w:tab w:val="center" w:pos="4252"/>
              <w:tab w:val="right" w:pos="8504"/>
            </w:tabs>
            <w:jc w:val="right"/>
            <w:rPr>
              <w:rFonts w:ascii="Arial" w:eastAsia="Arial" w:hAnsi="Arial" w:cs="Arial"/>
              <w:color w:val="000000"/>
              <w:sz w:val="16"/>
              <w:szCs w:val="16"/>
            </w:rPr>
          </w:pPr>
          <w:r>
            <w:rPr>
              <w:rFonts w:ascii="Arial" w:eastAsia="Arial" w:hAnsi="Arial" w:cs="Arial"/>
              <w:sz w:val="16"/>
              <w:szCs w:val="16"/>
            </w:rPr>
            <w:t>DHL LOGÍSTICA</w:t>
          </w:r>
          <w:r>
            <w:rPr>
              <w:rFonts w:ascii="Arial" w:eastAsia="Arial" w:hAnsi="Arial" w:cs="Arial"/>
              <w:color w:val="000000"/>
              <w:sz w:val="16"/>
              <w:szCs w:val="16"/>
            </w:rPr>
            <w:t xml:space="preserve"> – Norma de resposta a incidentes de segurança da informação – Uso interno</w:t>
          </w:r>
        </w:p>
      </w:tc>
      <w:tc>
        <w:tcPr>
          <w:tcW w:w="314" w:type="dxa"/>
        </w:tcPr>
        <w:p w14:paraId="67C2BA95" w14:textId="77777777" w:rsidR="00947460" w:rsidRDefault="00000000">
          <w:pPr>
            <w:pBdr>
              <w:top w:val="nil"/>
              <w:left w:val="nil"/>
              <w:bottom w:val="nil"/>
              <w:right w:val="nil"/>
              <w:between w:val="nil"/>
            </w:pBdr>
            <w:tabs>
              <w:tab w:val="center" w:pos="4252"/>
              <w:tab w:val="right" w:pos="8504"/>
            </w:tabs>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5F5F03">
            <w:rPr>
              <w:rFonts w:ascii="Arial" w:eastAsia="Arial" w:hAnsi="Arial" w:cs="Arial"/>
              <w:noProof/>
              <w:color w:val="000000"/>
              <w:sz w:val="16"/>
              <w:szCs w:val="16"/>
            </w:rPr>
            <w:t>1</w:t>
          </w:r>
          <w:r>
            <w:rPr>
              <w:rFonts w:ascii="Arial" w:eastAsia="Arial" w:hAnsi="Arial" w:cs="Arial"/>
              <w:color w:val="000000"/>
              <w:sz w:val="16"/>
              <w:szCs w:val="16"/>
            </w:rPr>
            <w:fldChar w:fldCharType="end"/>
          </w:r>
        </w:p>
      </w:tc>
    </w:tr>
  </w:tbl>
  <w:p w14:paraId="33D43CA0" w14:textId="77777777" w:rsidR="00947460" w:rsidRDefault="00947460">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0E5BC" w14:textId="77777777" w:rsidR="00AF53CC" w:rsidRDefault="00AF53CC">
      <w:pPr>
        <w:spacing w:after="0" w:line="240" w:lineRule="auto"/>
      </w:pPr>
      <w:r>
        <w:separator/>
      </w:r>
    </w:p>
  </w:footnote>
  <w:footnote w:type="continuationSeparator" w:id="0">
    <w:p w14:paraId="43CA32DF" w14:textId="77777777" w:rsidR="00AF53CC" w:rsidRDefault="00AF53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F7197" w14:textId="77777777" w:rsidR="00947460" w:rsidRDefault="00947460">
    <w:pPr>
      <w:widowControl w:val="0"/>
      <w:pBdr>
        <w:top w:val="nil"/>
        <w:left w:val="nil"/>
        <w:bottom w:val="nil"/>
        <w:right w:val="nil"/>
        <w:between w:val="nil"/>
      </w:pBdr>
      <w:spacing w:after="0"/>
      <w:rPr>
        <w:rFonts w:ascii="Arial" w:eastAsia="Arial" w:hAnsi="Arial" w:cs="Arial"/>
      </w:rPr>
    </w:pPr>
  </w:p>
  <w:tbl>
    <w:tblPr>
      <w:tblStyle w:val="a0"/>
      <w:tblW w:w="9886"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3"/>
      <w:gridCol w:w="4370"/>
      <w:gridCol w:w="1841"/>
      <w:gridCol w:w="1802"/>
    </w:tblGrid>
    <w:tr w:rsidR="00947460" w14:paraId="645DCD3C" w14:textId="77777777">
      <w:trPr>
        <w:trHeight w:val="747"/>
      </w:trPr>
      <w:tc>
        <w:tcPr>
          <w:tcW w:w="1873" w:type="dxa"/>
          <w:vAlign w:val="center"/>
        </w:tcPr>
        <w:p w14:paraId="32959974" w14:textId="77777777" w:rsidR="00947460" w:rsidRDefault="00947460">
          <w:pPr>
            <w:tabs>
              <w:tab w:val="center" w:pos="4513"/>
              <w:tab w:val="right" w:pos="9026"/>
            </w:tabs>
            <w:spacing w:after="0" w:line="240" w:lineRule="auto"/>
            <w:ind w:left="-108"/>
            <w:rPr>
              <w:rFonts w:ascii="Arial" w:eastAsia="Arial" w:hAnsi="Arial" w:cs="Arial"/>
              <w:sz w:val="16"/>
              <w:szCs w:val="16"/>
            </w:rPr>
          </w:pPr>
        </w:p>
      </w:tc>
      <w:tc>
        <w:tcPr>
          <w:tcW w:w="4370" w:type="dxa"/>
          <w:vMerge w:val="restart"/>
          <w:vAlign w:val="center"/>
        </w:tcPr>
        <w:p w14:paraId="302CCAB0" w14:textId="77777777" w:rsidR="00947460" w:rsidRDefault="00000000">
          <w:pPr>
            <w:spacing w:after="0" w:line="240" w:lineRule="auto"/>
            <w:jc w:val="center"/>
            <w:rPr>
              <w:rFonts w:ascii="Arial" w:eastAsia="Arial" w:hAnsi="Arial" w:cs="Arial"/>
              <w:b/>
              <w:bCs/>
              <w:smallCaps/>
              <w:sz w:val="32"/>
              <w:szCs w:val="32"/>
            </w:rPr>
          </w:pPr>
          <w:r>
            <w:rPr>
              <w:rFonts w:ascii="Arial" w:eastAsia="Arial" w:hAnsi="Arial" w:cs="Arial"/>
              <w:b/>
              <w:bCs/>
              <w:smallCaps/>
              <w:sz w:val="32"/>
              <w:szCs w:val="32"/>
            </w:rPr>
            <w:t>RESPOSTA A INCIDENTES DE SEGURANÇA DA INFORMAÇÃO</w:t>
          </w:r>
        </w:p>
      </w:tc>
      <w:tc>
        <w:tcPr>
          <w:tcW w:w="1841" w:type="dxa"/>
        </w:tcPr>
        <w:p w14:paraId="416889B8" w14:textId="77777777" w:rsidR="00947460" w:rsidRDefault="00000000">
          <w:pPr>
            <w:tabs>
              <w:tab w:val="center" w:pos="4513"/>
              <w:tab w:val="right" w:pos="9026"/>
            </w:tabs>
            <w:spacing w:before="120" w:after="120" w:line="240" w:lineRule="auto"/>
            <w:jc w:val="center"/>
            <w:rPr>
              <w:rFonts w:ascii="Arial" w:eastAsia="Arial" w:hAnsi="Arial" w:cs="Arial"/>
              <w:b/>
              <w:bCs/>
              <w:sz w:val="16"/>
              <w:szCs w:val="16"/>
            </w:rPr>
          </w:pPr>
          <w:r>
            <w:rPr>
              <w:rFonts w:ascii="Arial" w:eastAsia="Arial" w:hAnsi="Arial" w:cs="Arial"/>
              <w:b/>
              <w:bCs/>
              <w:sz w:val="16"/>
              <w:szCs w:val="16"/>
            </w:rPr>
            <w:t>Emissão</w:t>
          </w:r>
        </w:p>
        <w:p w14:paraId="62783221" w14:textId="77777777" w:rsidR="00947460" w:rsidRDefault="00000000">
          <w:pPr>
            <w:spacing w:before="120" w:after="120" w:line="240" w:lineRule="auto"/>
            <w:jc w:val="center"/>
            <w:rPr>
              <w:rFonts w:ascii="Arial" w:eastAsia="Arial" w:hAnsi="Arial" w:cs="Arial"/>
              <w:b/>
              <w:bCs/>
              <w:sz w:val="20"/>
              <w:szCs w:val="20"/>
            </w:rPr>
          </w:pPr>
          <w:r>
            <w:rPr>
              <w:rFonts w:ascii="Arial" w:eastAsia="Arial" w:hAnsi="Arial" w:cs="Arial"/>
              <w:b/>
              <w:bCs/>
              <w:sz w:val="20"/>
              <w:szCs w:val="20"/>
            </w:rPr>
            <w:t>21/03/2026</w:t>
          </w:r>
        </w:p>
      </w:tc>
      <w:tc>
        <w:tcPr>
          <w:tcW w:w="1802" w:type="dxa"/>
        </w:tcPr>
        <w:p w14:paraId="38281779" w14:textId="77777777" w:rsidR="00947460" w:rsidRDefault="00000000">
          <w:pPr>
            <w:tabs>
              <w:tab w:val="center" w:pos="4513"/>
              <w:tab w:val="right" w:pos="9026"/>
            </w:tabs>
            <w:spacing w:before="120" w:after="120" w:line="240" w:lineRule="auto"/>
            <w:rPr>
              <w:rFonts w:ascii="Arial" w:eastAsia="Arial" w:hAnsi="Arial" w:cs="Arial"/>
              <w:b/>
              <w:bCs/>
              <w:sz w:val="16"/>
              <w:szCs w:val="16"/>
            </w:rPr>
          </w:pPr>
          <w:r>
            <w:rPr>
              <w:rFonts w:ascii="Arial" w:eastAsia="Arial" w:hAnsi="Arial" w:cs="Arial"/>
              <w:b/>
              <w:bCs/>
              <w:sz w:val="16"/>
              <w:szCs w:val="16"/>
            </w:rPr>
            <w:t>Classificação</w:t>
          </w:r>
        </w:p>
        <w:p w14:paraId="75193D9E" w14:textId="77777777" w:rsidR="00947460" w:rsidRDefault="00000000">
          <w:pPr>
            <w:spacing w:before="120" w:after="120" w:line="240" w:lineRule="auto"/>
            <w:jc w:val="center"/>
            <w:rPr>
              <w:rFonts w:ascii="Arial" w:eastAsia="Arial" w:hAnsi="Arial" w:cs="Arial"/>
              <w:b/>
              <w:bCs/>
              <w:sz w:val="20"/>
              <w:szCs w:val="20"/>
            </w:rPr>
          </w:pPr>
          <w:r>
            <w:rPr>
              <w:rFonts w:ascii="Arial" w:eastAsia="Arial" w:hAnsi="Arial" w:cs="Arial"/>
              <w:b/>
              <w:bCs/>
              <w:sz w:val="20"/>
              <w:szCs w:val="20"/>
            </w:rPr>
            <w:t>Uso interno</w:t>
          </w:r>
        </w:p>
      </w:tc>
    </w:tr>
    <w:tr w:rsidR="00947460" w14:paraId="43D2F6B0" w14:textId="77777777">
      <w:trPr>
        <w:trHeight w:val="747"/>
      </w:trPr>
      <w:tc>
        <w:tcPr>
          <w:tcW w:w="1873" w:type="dxa"/>
          <w:vAlign w:val="center"/>
        </w:tcPr>
        <w:p w14:paraId="7D9753EE" w14:textId="77777777" w:rsidR="00947460" w:rsidRDefault="00000000">
          <w:pPr>
            <w:tabs>
              <w:tab w:val="center" w:pos="4513"/>
              <w:tab w:val="right" w:pos="9026"/>
            </w:tabs>
            <w:spacing w:before="120" w:after="120" w:line="240" w:lineRule="auto"/>
            <w:jc w:val="center"/>
            <w:rPr>
              <w:rFonts w:ascii="Arial" w:eastAsia="Arial" w:hAnsi="Arial" w:cs="Arial"/>
              <w:b/>
              <w:bCs/>
              <w:sz w:val="16"/>
              <w:szCs w:val="16"/>
            </w:rPr>
          </w:pPr>
          <w:r>
            <w:rPr>
              <w:rFonts w:ascii="Arial" w:eastAsia="Arial" w:hAnsi="Arial" w:cs="Arial"/>
              <w:b/>
              <w:bCs/>
              <w:sz w:val="16"/>
              <w:szCs w:val="16"/>
            </w:rPr>
            <w:t>Código</w:t>
          </w:r>
        </w:p>
        <w:p w14:paraId="317BC933" w14:textId="77777777" w:rsidR="00947460" w:rsidRDefault="00000000">
          <w:pPr>
            <w:tabs>
              <w:tab w:val="center" w:pos="4513"/>
              <w:tab w:val="right" w:pos="9026"/>
            </w:tabs>
            <w:spacing w:after="0" w:line="240" w:lineRule="auto"/>
            <w:ind w:left="-108"/>
            <w:jc w:val="center"/>
            <w:rPr>
              <w:rFonts w:ascii="Arial" w:eastAsia="Arial" w:hAnsi="Arial" w:cs="Arial"/>
              <w:sz w:val="20"/>
              <w:szCs w:val="20"/>
            </w:rPr>
          </w:pPr>
          <w:r>
            <w:rPr>
              <w:rFonts w:ascii="Arial" w:eastAsia="Arial" w:hAnsi="Arial" w:cs="Arial"/>
              <w:b/>
              <w:bCs/>
              <w:sz w:val="20"/>
              <w:szCs w:val="20"/>
            </w:rPr>
            <w:t>N-SI-010</w:t>
          </w:r>
        </w:p>
      </w:tc>
      <w:tc>
        <w:tcPr>
          <w:tcW w:w="4370" w:type="dxa"/>
          <w:vMerge/>
          <w:vAlign w:val="center"/>
        </w:tcPr>
        <w:p w14:paraId="74E26731" w14:textId="77777777" w:rsidR="00947460" w:rsidRDefault="00947460">
          <w:pPr>
            <w:widowControl w:val="0"/>
            <w:pBdr>
              <w:top w:val="nil"/>
              <w:left w:val="nil"/>
              <w:bottom w:val="nil"/>
              <w:right w:val="nil"/>
              <w:between w:val="nil"/>
            </w:pBdr>
            <w:spacing w:after="0"/>
            <w:rPr>
              <w:rFonts w:ascii="Arial" w:eastAsia="Arial" w:hAnsi="Arial" w:cs="Arial"/>
              <w:sz w:val="20"/>
              <w:szCs w:val="20"/>
            </w:rPr>
          </w:pPr>
        </w:p>
      </w:tc>
      <w:tc>
        <w:tcPr>
          <w:tcW w:w="1841" w:type="dxa"/>
        </w:tcPr>
        <w:p w14:paraId="2C9DAF73" w14:textId="77777777" w:rsidR="00947460" w:rsidRDefault="00000000">
          <w:pPr>
            <w:tabs>
              <w:tab w:val="center" w:pos="4513"/>
              <w:tab w:val="right" w:pos="9026"/>
            </w:tabs>
            <w:spacing w:before="120" w:after="120" w:line="240" w:lineRule="auto"/>
            <w:jc w:val="center"/>
            <w:rPr>
              <w:rFonts w:ascii="Arial" w:eastAsia="Arial" w:hAnsi="Arial" w:cs="Arial"/>
              <w:b/>
              <w:bCs/>
              <w:sz w:val="16"/>
              <w:szCs w:val="16"/>
            </w:rPr>
          </w:pPr>
          <w:r>
            <w:rPr>
              <w:rFonts w:ascii="Arial" w:eastAsia="Arial" w:hAnsi="Arial" w:cs="Arial"/>
              <w:b/>
              <w:bCs/>
              <w:sz w:val="16"/>
              <w:szCs w:val="16"/>
            </w:rPr>
            <w:t>Versão</w:t>
          </w:r>
        </w:p>
        <w:p w14:paraId="386090F1" w14:textId="77777777" w:rsidR="00947460" w:rsidRDefault="00000000">
          <w:pPr>
            <w:tabs>
              <w:tab w:val="center" w:pos="4513"/>
              <w:tab w:val="right" w:pos="9026"/>
            </w:tabs>
            <w:spacing w:after="0" w:line="240" w:lineRule="auto"/>
            <w:jc w:val="center"/>
            <w:rPr>
              <w:rFonts w:ascii="Arial" w:eastAsia="Arial" w:hAnsi="Arial" w:cs="Arial"/>
              <w:b/>
              <w:bCs/>
              <w:sz w:val="20"/>
              <w:szCs w:val="20"/>
            </w:rPr>
          </w:pPr>
          <w:r>
            <w:rPr>
              <w:rFonts w:ascii="Arial" w:eastAsia="Arial" w:hAnsi="Arial" w:cs="Arial"/>
              <w:b/>
              <w:bCs/>
              <w:sz w:val="20"/>
              <w:szCs w:val="20"/>
            </w:rPr>
            <w:t>1.03</w:t>
          </w:r>
        </w:p>
      </w:tc>
      <w:tc>
        <w:tcPr>
          <w:tcW w:w="1802" w:type="dxa"/>
        </w:tcPr>
        <w:p w14:paraId="6BA52FEF" w14:textId="77777777" w:rsidR="00947460" w:rsidRDefault="00000000">
          <w:pPr>
            <w:tabs>
              <w:tab w:val="center" w:pos="4513"/>
              <w:tab w:val="right" w:pos="9026"/>
            </w:tabs>
            <w:spacing w:before="120" w:after="120" w:line="240" w:lineRule="auto"/>
            <w:rPr>
              <w:rFonts w:ascii="Arial" w:eastAsia="Arial" w:hAnsi="Arial" w:cs="Arial"/>
              <w:b/>
              <w:bCs/>
              <w:sz w:val="16"/>
              <w:szCs w:val="16"/>
            </w:rPr>
          </w:pPr>
          <w:r>
            <w:rPr>
              <w:rFonts w:ascii="Arial" w:eastAsia="Arial" w:hAnsi="Arial" w:cs="Arial"/>
              <w:b/>
              <w:bCs/>
              <w:sz w:val="16"/>
              <w:szCs w:val="16"/>
            </w:rPr>
            <w:t>Aprovado por:</w:t>
          </w:r>
        </w:p>
        <w:p w14:paraId="3B2CE17B" w14:textId="77777777" w:rsidR="00947460" w:rsidRDefault="00000000">
          <w:pPr>
            <w:tabs>
              <w:tab w:val="center" w:pos="4513"/>
              <w:tab w:val="right" w:pos="9026"/>
            </w:tabs>
            <w:spacing w:after="0" w:line="240" w:lineRule="auto"/>
            <w:jc w:val="center"/>
            <w:rPr>
              <w:rFonts w:ascii="Arial" w:eastAsia="Arial" w:hAnsi="Arial" w:cs="Arial"/>
              <w:b/>
              <w:bCs/>
              <w:sz w:val="20"/>
              <w:szCs w:val="20"/>
            </w:rPr>
          </w:pPr>
          <w:r>
            <w:rPr>
              <w:rFonts w:ascii="Arial" w:eastAsia="Arial" w:hAnsi="Arial" w:cs="Arial"/>
              <w:b/>
              <w:bCs/>
              <w:sz w:val="20"/>
              <w:szCs w:val="20"/>
            </w:rPr>
            <w:t xml:space="preserve">Peterson </w:t>
          </w:r>
          <w:proofErr w:type="spellStart"/>
          <w:r>
            <w:rPr>
              <w:rFonts w:ascii="Arial" w:eastAsia="Arial" w:hAnsi="Arial" w:cs="Arial"/>
              <w:b/>
              <w:bCs/>
              <w:sz w:val="20"/>
              <w:szCs w:val="20"/>
            </w:rPr>
            <w:t>Wiggers</w:t>
          </w:r>
          <w:proofErr w:type="spellEnd"/>
        </w:p>
      </w:tc>
    </w:tr>
  </w:tbl>
  <w:p w14:paraId="0F4E90F6" w14:textId="77777777" w:rsidR="00947460" w:rsidRDefault="00947460">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94437C"/>
    <w:multiLevelType w:val="multilevel"/>
    <w:tmpl w:val="3F90DC62"/>
    <w:lvl w:ilvl="0">
      <w:start w:val="1"/>
      <w:numFmt w:val="decimal"/>
      <w:lvlText w:val="%1."/>
      <w:lvlJc w:val="left"/>
      <w:pPr>
        <w:ind w:left="360" w:hanging="360"/>
      </w:pPr>
      <w:rPr>
        <w:b/>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50592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460"/>
    <w:rsid w:val="005F5F03"/>
    <w:rsid w:val="007467F9"/>
    <w:rsid w:val="00947460"/>
    <w:rsid w:val="00AE7D73"/>
    <w:rsid w:val="00AF53C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8CCE6"/>
  <w15:docId w15:val="{DC453CEF-1530-4729-B787-173EBC155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792</Words>
  <Characters>4701</Characters>
  <Application>Microsoft Office Word</Application>
  <DocSecurity>0</DocSecurity>
  <Lines>151</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Isaque de Oliveira dos Santos</cp:lastModifiedBy>
  <cp:revision>2</cp:revision>
  <dcterms:created xsi:type="dcterms:W3CDTF">2026-03-24T17:01:00Z</dcterms:created>
  <dcterms:modified xsi:type="dcterms:W3CDTF">2026-03-24T17:12:00Z</dcterms:modified>
</cp:coreProperties>
</file>