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bookmarkStart w:colFirst="0" w:colLast="0" w:name="_cv5oaw8a6zn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Introdução</w:t>
      </w:r>
    </w:p>
    <w:p w:rsidR="00000000" w:rsidDel="00000000" w:rsidP="00000000" w:rsidRDefault="00000000" w:rsidRPr="00000000" w14:paraId="00000002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Norma de segurança da informação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N-SI-009</w:t>
      </w:r>
      <w:r w:rsidDel="00000000" w:rsidR="00000000" w:rsidRPr="00000000">
        <w:rPr>
          <w:rFonts w:ascii="Arial" w:cs="Arial" w:eastAsia="Arial" w:hAnsi="Arial"/>
          <w:rtl w:val="0"/>
        </w:rPr>
        <w:t xml:space="preserve"> complementa Política Geral de Segurança da Informação, definindo as diretrizes para o monitoramento de ativos/serviços de informação e recursos computacionais da DHL LOGÍSTICA.</w:t>
      </w:r>
    </w:p>
    <w:p w:rsidR="00000000" w:rsidDel="00000000" w:rsidP="00000000" w:rsidRDefault="00000000" w:rsidRPr="00000000" w14:paraId="00000004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Propósito</w:t>
      </w:r>
    </w:p>
    <w:p w:rsidR="00000000" w:rsidDel="00000000" w:rsidP="00000000" w:rsidRDefault="00000000" w:rsidRPr="00000000" w14:paraId="00000006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Estabelecer diretrizes para o monitoramento de ativos/serviços de informação e recursos computacionais da DHL LOGÍSTICA, garantindo o respeito dos usuários às regras estabelecidas na Política Geral de Segurança da Informação, bem como produzir prova de eventual violação das condições constantes da mesma, e na legislação vigente.</w:t>
      </w:r>
    </w:p>
    <w:p w:rsidR="00000000" w:rsidDel="00000000" w:rsidP="00000000" w:rsidRDefault="00000000" w:rsidRPr="00000000" w14:paraId="00000008">
      <w:pPr>
        <w:spacing w:after="0" w:line="240" w:lineRule="auto"/>
        <w:ind w:left="792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Escopo</w:t>
      </w:r>
    </w:p>
    <w:p w:rsidR="00000000" w:rsidDel="00000000" w:rsidP="00000000" w:rsidRDefault="00000000" w:rsidRPr="00000000" w14:paraId="0000000A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 norma obedece ao escopo definido na Política Geral de Segurança da Informação.</w:t>
      </w:r>
    </w:p>
    <w:p w:rsidR="00000000" w:rsidDel="00000000" w:rsidP="00000000" w:rsidRDefault="00000000" w:rsidRPr="00000000" w14:paraId="0000000C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Diretrizes</w:t>
      </w:r>
    </w:p>
    <w:p w:rsidR="00000000" w:rsidDel="00000000" w:rsidP="00000000" w:rsidRDefault="00000000" w:rsidRPr="00000000" w14:paraId="0000000E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Monitoramento de ativos/serviços da informação e recursos computacionais</w:t>
      </w:r>
    </w:p>
    <w:p w:rsidR="00000000" w:rsidDel="00000000" w:rsidP="00000000" w:rsidRDefault="00000000" w:rsidRPr="00000000" w14:paraId="00000010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Qualquer ativo/serviço de informação ou recurso computacional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bem como qualquer outro recurso computacional com acesso aos mesmos, poderá ser monitorado a qualquer momento;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os ativos/serviços de informação, recursos computacionais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bem como toda informação trafegada ou armazenada nos mesmos, incluindo conta de e-mail corporativa e a navegação em sites e serviços da Internet, estão sujeitos à monitoração, não constituindo qualquer violação à intimidade, vida privada, honra ou imagem da pessoa monitorada, visando resguardar a segurança dos ativos de informações, bem como segurança jurídica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14">
      <w:pPr>
        <w:spacing w:after="0" w:line="240" w:lineRule="auto"/>
        <w:ind w:left="72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há expectativa de privacidade na utilização dos ativos/serviços de informação ou recursos computacionais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incluindo a utilização da conta de e-mail corporativa, comunicadores instantâneos e navegação em sites da Internet, através da infraestrutura tecnológica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Todas as informações dos ativos/serviços de informação ou recursos computacionais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podem ser interceptadas, gravadas, lidas, copiadas e divulgadas por, ou para, pessoas autorizadas para finalidades oficiais, incluindo investigações criminais. Estas informações incluem dados sensíveis criptografados para cumprir as exigências de confidencialidade e de privacidade.</w: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Monitoramento do ambiente físico</w:t>
      </w:r>
    </w:p>
    <w:p w:rsidR="00000000" w:rsidDel="00000000" w:rsidP="00000000" w:rsidRDefault="00000000" w:rsidRPr="00000000" w14:paraId="0000001A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 LOGÍSTICA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faz o monitoramento do seu ambiente físico interno e externo com o uso de circuito interno de televisão e câmeras de filmagem instaladas em suas dependências;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câmeras de filmagem estão dispostas de forma a resguardar a dignidade humana, sendo vedada a sua instalação em banheiros, lavabos e na área reservada ao atendimento médico de empregados;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filmagem descrita nesta norma tem por objetivo assegurar a segurança física do ambiente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bem como a sua segurança patrimonial, não constituindo qualquer violação à intimidade, vida privada, honra ou imagem da pessoa filmada, o que o usuário tem ciência expressamente neste ato;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24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imagens captadas dentro das dependências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serão arquivadas conforme procedimento adotado pela instituição e mantidas em caráter estritamente confidencial, somente podendo ser divulgadas em caso de infração às regras constantes em suas políticas e normas e/ou infração de legislação vigente;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 LOGÍSTICA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não permite o uso de qualquer dispositivo de gravação audiovisual dentro do seu perímetro físico, excetuando-se quando o usuário estiver formalmente autorizado.</w:t>
      </w:r>
    </w:p>
    <w:p w:rsidR="00000000" w:rsidDel="00000000" w:rsidP="00000000" w:rsidRDefault="00000000" w:rsidRPr="00000000" w14:paraId="00000024">
      <w:pPr>
        <w:spacing w:after="0" w:line="240" w:lineRule="auto"/>
        <w:ind w:left="284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Aviso legal</w:t>
      </w:r>
    </w:p>
    <w:p w:rsidR="00000000" w:rsidDel="00000000" w:rsidP="00000000" w:rsidRDefault="00000000" w:rsidRPr="00000000" w14:paraId="00000026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 LOGÍSTICA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faz uso de um aviso legal para garantir que usuários e demais pessoas e entidades que tentem obter acesso a ativos/serviços de informação ou recursos computacionais da organização estejam cientes das regras de segurança adotadas pela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bem como do monitoramento realizado nos termos desta norma;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aviso legal deverá ser exibido antes de permitir o acesso a ativos/serviços de informação ou recursos computacionais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apresentando o seguinte formato:</w:t>
      </w:r>
    </w:p>
    <w:p w:rsidR="00000000" w:rsidDel="00000000" w:rsidP="00000000" w:rsidRDefault="00000000" w:rsidRPr="00000000" w14:paraId="0000002A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“Este é um ativo/serviço de informação ou recurso computacional da DHL LOGÍSTICA, o qual pode ser acessado e utilizado somente por usuários previamente autorizados. Em caso de acesso e uso não autorizado ou indevido deste sistema, o infrator estará sujeito sanções cabíveis nas esferas administrativa, cível e penal, sem prejuízo das demais legislações aplicáveis. Este ativo/serviço de informação ou recurso computacional é monitorado, não havendo expectativa de privacidade na sua utilização. O acesso a este ativo/serviço de informação ou recurso computacional ou o uso do mesmo por qualquer pessoa ou entidade, autorizada ou não, constitui seu consentimento irrestrito aos termos aqui expostos.”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acesso a qualquer ativo/serviço de informação ou recurso computacional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ou o uso dos mesmos por qualquer pessoa ou entidade, autorizada ou não, caracteriza consentimento irrestrito aos termos expostos no aviso legal;</w:t>
      </w:r>
    </w:p>
    <w:p w:rsidR="00000000" w:rsidDel="00000000" w:rsidP="00000000" w:rsidRDefault="00000000" w:rsidRPr="00000000" w14:paraId="0000002E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8" w:right="0" w:hanging="698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ausência do aviso legal em qualquer ativo/serviço de informação ou recurso computacional da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não descaracteriza a necessidade de cumprimento das regras expostas nas políticas, normas e demais procedimentos de segurança da informação adotados pela </w:t>
      </w:r>
      <w:r w:rsidDel="00000000" w:rsidR="00000000" w:rsidRPr="00000000">
        <w:rPr>
          <w:rFonts w:ascii="Arial" w:cs="Arial" w:eastAsia="Arial" w:hAnsi="Arial"/>
          <w:rtl w:val="0"/>
        </w:rPr>
        <w:t xml:space="preserve">DHL LOGÍSTICA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Papéis e Responsabilidades</w:t>
      </w:r>
    </w:p>
    <w:p w:rsidR="00000000" w:rsidDel="00000000" w:rsidP="00000000" w:rsidRDefault="00000000" w:rsidRPr="00000000" w14:paraId="00000032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COMITÊ DA GERÊNCIA DE TECNOLOGIA DA INFORMAÇÃO</w:t>
      </w:r>
    </w:p>
    <w:p w:rsidR="00000000" w:rsidDel="00000000" w:rsidP="00000000" w:rsidRDefault="00000000" w:rsidRPr="00000000" w14:paraId="00000034">
      <w:pPr>
        <w:spacing w:after="0" w:line="240" w:lineRule="auto"/>
        <w:ind w:left="122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1"/>
        </w:numPr>
        <w:spacing w:after="0" w:line="240" w:lineRule="auto"/>
        <w:ind w:left="1224" w:right="0" w:hanging="504.00000000000006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É responsabilidade da GERÊNCIA DE TECNOLOGIA DA INFORMAÇÃO:</w:t>
      </w:r>
    </w:p>
    <w:p w:rsidR="00000000" w:rsidDel="00000000" w:rsidP="00000000" w:rsidRDefault="00000000" w:rsidRPr="00000000" w14:paraId="00000036">
      <w:pPr>
        <w:spacing w:after="0" w:line="240" w:lineRule="auto"/>
        <w:ind w:left="1728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Realizar o monitoramento dos ativos/serviços de informação ou recursos computacionais da DHL;</w:t>
      </w:r>
    </w:p>
    <w:p w:rsidR="00000000" w:rsidDel="00000000" w:rsidP="00000000" w:rsidRDefault="00000000" w:rsidRPr="00000000" w14:paraId="00000038">
      <w:pPr>
        <w:spacing w:after="0" w:line="240" w:lineRule="auto"/>
        <w:ind w:left="2127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3"/>
          <w:numId w:val="1"/>
        </w:numPr>
        <w:spacing w:after="0" w:line="240" w:lineRule="auto"/>
        <w:ind w:left="2127" w:right="0" w:hanging="104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Tratar eventuais violações das diretrizes de segurança da DHL identificadas através de ferramentas de monitoramento, e, quando pertinente, reportar as mesmas a equipe de segurança da informação.</w:t>
      </w:r>
    </w:p>
    <w:p w:rsidR="00000000" w:rsidDel="00000000" w:rsidP="00000000" w:rsidRDefault="00000000" w:rsidRPr="00000000" w14:paraId="0000003A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Sanções e Punições</w:t>
      </w:r>
    </w:p>
    <w:p w:rsidR="00000000" w:rsidDel="00000000" w:rsidP="00000000" w:rsidRDefault="00000000" w:rsidRPr="00000000" w14:paraId="0000003C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spacing w:after="0" w:line="240" w:lineRule="auto"/>
        <w:ind w:left="284" w:right="0" w:hanging="43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Sanções e punições serão aplicadas conforme previsto na Política Geral de Segurança da Informação.</w:t>
      </w:r>
    </w:p>
    <w:p w:rsidR="00000000" w:rsidDel="00000000" w:rsidP="00000000" w:rsidRDefault="00000000" w:rsidRPr="00000000" w14:paraId="0000003E">
      <w:pPr>
        <w:spacing w:after="0" w:line="240" w:lineRule="auto"/>
        <w:ind w:left="284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Revisões</w:t>
      </w:r>
    </w:p>
    <w:p w:rsidR="00000000" w:rsidDel="00000000" w:rsidP="00000000" w:rsidRDefault="00000000" w:rsidRPr="00000000" w14:paraId="00000040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Esta norma é revisada com periodicidade anual ou conforme o entendimento do Comitê Gestor de Segurança da Informação.</w:t>
      </w:r>
    </w:p>
    <w:p w:rsidR="00000000" w:rsidDel="00000000" w:rsidP="00000000" w:rsidRDefault="00000000" w:rsidRPr="00000000" w14:paraId="00000042">
      <w:pPr>
        <w:spacing w:after="0" w:line="240" w:lineRule="auto"/>
        <w:ind w:left="-426" w:right="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Gestão da Norma</w:t>
      </w:r>
    </w:p>
    <w:p w:rsidR="00000000" w:rsidDel="00000000" w:rsidP="00000000" w:rsidRDefault="00000000" w:rsidRPr="00000000" w14:paraId="00000044">
      <w:pPr>
        <w:spacing w:after="0" w:line="240" w:lineRule="auto"/>
        <w:ind w:left="-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norma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N-SI-009</w:t>
      </w:r>
      <w:r w:rsidDel="00000000" w:rsidR="00000000" w:rsidRPr="00000000">
        <w:rPr>
          <w:rFonts w:ascii="Arial" w:cs="Arial" w:eastAsia="Arial" w:hAnsi="Arial"/>
          <w:rtl w:val="0"/>
        </w:rPr>
        <w:t xml:space="preserve"> é aprovada pelo Comitê Gestor de Segurança da Informação, em conjunto com a Diretoria da DHL LOGÍSTICA.</w:t>
      </w:r>
    </w:p>
    <w:p w:rsidR="00000000" w:rsidDel="00000000" w:rsidP="00000000" w:rsidRDefault="00000000" w:rsidRPr="00000000" w14:paraId="00000046">
      <w:pPr>
        <w:spacing w:after="0" w:line="240" w:lineRule="auto"/>
        <w:ind w:left="426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after="0" w:line="240" w:lineRule="auto"/>
        <w:ind w:left="426" w:right="0" w:hanging="57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presente norma foi aprovada no dia 26/01/2017</w:t>
      </w:r>
    </w:p>
    <w:p w:rsidR="00000000" w:rsidDel="00000000" w:rsidP="00000000" w:rsidRDefault="00000000" w:rsidRPr="00000000" w14:paraId="00000048">
      <w:pPr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18.0" w:type="dxa"/>
        <w:jc w:val="left"/>
        <w:tblInd w:w="-31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015"/>
        <w:gridCol w:w="232"/>
        <w:gridCol w:w="4771"/>
        <w:tblGridChange w:id="0">
          <w:tblGrid>
            <w:gridCol w:w="5015"/>
            <w:gridCol w:w="232"/>
            <w:gridCol w:w="477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2601278" cy="1138059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1278" cy="113805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Peterson Wiggers – Presidente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Iago Schlemper– Vice-Presidente</w:t>
            </w:r>
          </w:p>
        </w:tc>
      </w:tr>
    </w:tbl>
    <w:p w:rsidR="00000000" w:rsidDel="00000000" w:rsidP="00000000" w:rsidRDefault="00000000" w:rsidRPr="00000000" w14:paraId="00000053">
      <w:pPr>
        <w:spacing w:after="0" w:line="240" w:lineRule="auto"/>
        <w:ind w:left="42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17" w:top="1417" w:left="1701" w:right="72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8644.0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8330"/>
      <w:gridCol w:w="314"/>
      <w:tblGridChange w:id="0">
        <w:tblGrid>
          <w:gridCol w:w="8330"/>
          <w:gridCol w:w="314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DHL LOGÍSTICA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– Norma de monitoramento de ativos e serviços da informação  – Uso interno</w:t>
          </w:r>
        </w:p>
      </w:tc>
      <w:tc>
        <w:tcPr/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tbl>
    <w:tblPr>
      <w:tblStyle w:val="Table2"/>
      <w:tblW w:w="9886.0" w:type="dxa"/>
      <w:jc w:val="left"/>
      <w:tblInd w:w="-31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1873"/>
      <w:gridCol w:w="4370"/>
      <w:gridCol w:w="1841"/>
      <w:gridCol w:w="1802"/>
      <w:tblGridChange w:id="0">
        <w:tblGrid>
          <w:gridCol w:w="1873"/>
          <w:gridCol w:w="4370"/>
          <w:gridCol w:w="1841"/>
          <w:gridCol w:w="1802"/>
        </w:tblGrid>
      </w:tblGridChange>
    </w:tblGrid>
    <w:tr>
      <w:trPr>
        <w:cantSplit w:val="0"/>
        <w:trHeight w:val="74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6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ind w:left="-108" w:firstLine="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restart"/>
          <w:vAlign w:val="center"/>
        </w:tcPr>
        <w:p w:rsidR="00000000" w:rsidDel="00000000" w:rsidP="00000000" w:rsidRDefault="00000000" w:rsidRPr="00000000" w14:paraId="00000057">
          <w:pPr>
            <w:spacing w:after="0" w:line="240" w:lineRule="auto"/>
            <w:jc w:val="center"/>
            <w:rPr>
              <w:rFonts w:ascii="Arial" w:cs="Arial" w:eastAsia="Arial" w:hAnsi="Arial"/>
              <w:b w:val="1"/>
              <w:bCs w:val="1"/>
              <w:smallCaps w:val="1"/>
              <w:sz w:val="32"/>
              <w:szCs w:val="32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32"/>
              <w:szCs w:val="32"/>
              <w:rtl w:val="0"/>
            </w:rPr>
            <w:t xml:space="preserve">MONITORAMENTO DE ATIVOS E SERVIÇOS DA INFORMAÇÃO</w:t>
          </w:r>
        </w:p>
      </w:tc>
      <w:tc>
        <w:tcPr/>
        <w:p w:rsidR="00000000" w:rsidDel="00000000" w:rsidP="00000000" w:rsidRDefault="00000000" w:rsidRPr="00000000" w14:paraId="00000058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Emissão</w:t>
          </w:r>
        </w:p>
        <w:p w:rsidR="00000000" w:rsidDel="00000000" w:rsidP="00000000" w:rsidRDefault="00000000" w:rsidRPr="00000000" w14:paraId="00000059">
          <w:pPr>
            <w:spacing w:after="120" w:before="120" w:line="288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21/03/2026</w:t>
          </w:r>
        </w:p>
      </w:tc>
      <w:tc>
        <w:tcPr/>
        <w:p w:rsidR="00000000" w:rsidDel="00000000" w:rsidP="00000000" w:rsidRDefault="00000000" w:rsidRPr="00000000" w14:paraId="0000005A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Classificação</w:t>
          </w:r>
        </w:p>
        <w:p w:rsidR="00000000" w:rsidDel="00000000" w:rsidP="00000000" w:rsidRDefault="00000000" w:rsidRPr="00000000" w14:paraId="0000005B">
          <w:pPr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Uso interno</w:t>
          </w:r>
        </w:p>
      </w:tc>
    </w:tr>
    <w:tr>
      <w:trPr>
        <w:cantSplit w:val="0"/>
        <w:trHeight w:val="747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C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Código</w:t>
          </w:r>
        </w:p>
        <w:p w:rsidR="00000000" w:rsidDel="00000000" w:rsidP="00000000" w:rsidRDefault="00000000" w:rsidRPr="00000000" w14:paraId="0000005D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ind w:left="-108" w:firstLine="0"/>
            <w:jc w:val="center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N-SI-009</w:t>
          </w: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F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jc w:val="center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Versão</w:t>
          </w:r>
        </w:p>
        <w:p w:rsidR="00000000" w:rsidDel="00000000" w:rsidP="00000000" w:rsidRDefault="00000000" w:rsidRPr="00000000" w14:paraId="00000060">
          <w:pPr>
            <w:tabs>
              <w:tab w:val="center" w:leader="none" w:pos="4513"/>
              <w:tab w:val="right" w:leader="none" w:pos="9026"/>
            </w:tabs>
            <w:spacing w:after="0" w:line="240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1.09</w:t>
          </w:r>
        </w:p>
      </w:tc>
      <w:tc>
        <w:tcPr/>
        <w:p w:rsidR="00000000" w:rsidDel="00000000" w:rsidP="00000000" w:rsidRDefault="00000000" w:rsidRPr="00000000" w14:paraId="00000061">
          <w:pPr>
            <w:tabs>
              <w:tab w:val="center" w:leader="none" w:pos="4513"/>
              <w:tab w:val="right" w:leader="none" w:pos="9026"/>
            </w:tabs>
            <w:spacing w:after="120" w:before="120" w:line="240" w:lineRule="auto"/>
            <w:rPr>
              <w:rFonts w:ascii="Arial" w:cs="Arial" w:eastAsia="Arial" w:hAnsi="Arial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16"/>
              <w:szCs w:val="16"/>
              <w:rtl w:val="0"/>
            </w:rPr>
            <w:t xml:space="preserve">Aprovado por:</w:t>
          </w:r>
        </w:p>
        <w:p w:rsidR="00000000" w:rsidDel="00000000" w:rsidP="00000000" w:rsidRDefault="00000000" w:rsidRPr="00000000" w14:paraId="00000062">
          <w:pPr>
            <w:tabs>
              <w:tab w:val="center" w:leader="none" w:pos="4513"/>
              <w:tab w:val="right" w:leader="none" w:pos="9026"/>
            </w:tabs>
            <w:spacing w:after="0" w:line="288" w:lineRule="auto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Peterson Wiggers</w:t>
          </w:r>
        </w:p>
      </w:tc>
    </w:tr>
  </w:tbl>
  <w:p w:rsidR="00000000" w:rsidDel="00000000" w:rsidP="00000000" w:rsidRDefault="00000000" w:rsidRPr="00000000" w14:paraId="000000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b w:val="1"/>
        <w:bCs w:val="1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