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Introdução</w:t>
      </w:r>
    </w:p>
    <w:p w:rsidR="00000000" w:rsidDel="00000000" w:rsidP="00000000" w:rsidRDefault="00000000" w:rsidRPr="00000000" w14:paraId="00000002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Norma de segurança da informação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N-SI-002</w:t>
      </w:r>
      <w:r w:rsidDel="00000000" w:rsidR="00000000" w:rsidRPr="00000000">
        <w:rPr>
          <w:rFonts w:ascii="Arial" w:cs="Arial" w:eastAsia="Arial" w:hAnsi="Arial"/>
          <w:rtl w:val="0"/>
        </w:rPr>
        <w:t xml:space="preserve"> complementa a Política Geral de Segurança da Informação, definindo as diretrizes para o uso aceitável de ativos de informação da DHL LOGÍSTICA por seus usuários autorizados.</w:t>
      </w:r>
    </w:p>
    <w:p w:rsidR="00000000" w:rsidDel="00000000" w:rsidP="00000000" w:rsidRDefault="00000000" w:rsidRPr="00000000" w14:paraId="00000004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Propósito</w:t>
      </w:r>
    </w:p>
    <w:p w:rsidR="00000000" w:rsidDel="00000000" w:rsidP="00000000" w:rsidRDefault="00000000" w:rsidRPr="00000000" w14:paraId="00000006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Estabelecer diretrizes para o uso aceitável, entendido como seguro, dos ativos de informação da DHL LOGÍSTICA por seus usuários autorizados.</w:t>
      </w:r>
    </w:p>
    <w:p w:rsidR="00000000" w:rsidDel="00000000" w:rsidP="00000000" w:rsidRDefault="00000000" w:rsidRPr="00000000" w14:paraId="00000008">
      <w:pPr>
        <w:spacing w:after="0" w:line="240" w:lineRule="auto"/>
        <w:ind w:left="792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Escopo</w:t>
      </w:r>
    </w:p>
    <w:p w:rsidR="00000000" w:rsidDel="00000000" w:rsidP="00000000" w:rsidRDefault="00000000" w:rsidRPr="00000000" w14:paraId="0000000A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 norma obedece ao escopo definido na Política Geral de Segurança da Informação.</w:t>
      </w:r>
    </w:p>
    <w:p w:rsidR="00000000" w:rsidDel="00000000" w:rsidP="00000000" w:rsidRDefault="00000000" w:rsidRPr="00000000" w14:paraId="0000000C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Diretrizes</w:t>
      </w:r>
    </w:p>
    <w:p w:rsidR="00000000" w:rsidDel="00000000" w:rsidP="00000000" w:rsidRDefault="00000000" w:rsidRPr="00000000" w14:paraId="0000000E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Uso de equipamento computacional</w:t>
      </w:r>
    </w:p>
    <w:p w:rsidR="00000000" w:rsidDel="00000000" w:rsidP="00000000" w:rsidRDefault="00000000" w:rsidRPr="00000000" w14:paraId="00000010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fornece para seus usuários equipamentos para o desempenho exclusivamente de suas atividades profissionais.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usuário deve observar as seguintes disposições quanto ao uso de equipamentos de propriedade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equipamentos disponibilizados com o objetivo específico de permitir aos usuários desenvolverem suas atividades profissionais são de propriedade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sendo expressamente proibida a utilização para fins particulares;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alteração e/ou a manutenção de qualquer equipamento de propriedade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uma atribuição específica do departamento de tecnologia da informação que, a seu critério exclusivo, poderá delegar formalmente outro responsável. Demais usuários são expressamente proibidos de realizar qualquer tipo de manutenção ou modificação nos equipamentos;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equipamentos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devem ser utilizados com cuidado visando garantir sua preservação e seu funcionamento adequado;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Computadores de mesa 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desktops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ou móveis 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notebooks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devem ser desligados no final do expediente ou sempre que um usuário estiver ausente por um período prolongado, excetuando-se quando existir uma justificativa plausível em virtude de atividades de trabalho;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desconexão 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 off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da rede deverá ser efetuada nos casos em que o usuário não for mais utilizar o equipamento ou venha a ausentar-se por um período prolongado;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bloqueio de tela protegido por senha deverá ser ativado sempre que o usuário se afastar do computador de mesa ou móvel que esteja utilizando;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Ao final do contrato de trabalho, os equipamentos disponibilizados para a execução de atividades profissionais devem ser devolvidos em estado de conservação adequado quando no desligamento ou término da relação do usuário com 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 e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Qualquer dano aos equipamentos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será devidamente analisado pela área de tecnologia da informação. Havendo a constatação de que tal dano decorreu de ação direta ou omissão do usuário, caberá 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exercer seu direito de reparação ao prejuízo, através da tomada das medidas cabíveis.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seu critério exclusivo 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poderá permitir a utilização de equipamento particular para o desempenho de atividades profissionais, devendo os mesmos passar por inspeção tanto do departamento de tecnologia da informação, quanto da área de segurança da informação de forma a garantir adequação aos requisitos e controles de segurança adotados pela empresa;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224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é permitida a conexão de equipamentos particulares na rede administrativa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seja em segmentos cabeados ou sem fio, sem autorização prévia formal e inspeção do equipamento tanto do departamento de tecnologia da informação, quanto da área de segurança da informação.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Dispositivos de Armazenamento Removível</w:t>
      </w:r>
    </w:p>
    <w:p w:rsidR="00000000" w:rsidDel="00000000" w:rsidP="00000000" w:rsidRDefault="00000000" w:rsidRPr="00000000" w14:paraId="00000029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poderá, a seu critério exclusivo, fornecer a seus usuários dispositivos móveis ou com capacidade de armazenamento removível para execução de atividades profissionais, devendo ser observadas além das diretrizes acima, as seguintes: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é o responsável direto pela segurança física e lógica dos dispositivos móveis sob sua guarda. Portanto, os mesmos não devem ficar fora de seu alcance em locais públicos onde haja acesso não controlado de pessoas;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o deslocamento o usuário deverá estar alerta e ter uma conduta discreta, dando preferência para compartimentos de armazenamento resistentes e não chamativos e nunca deixando o dispositivo móvel desacompanhado em veículos;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instalação de ferramentas de proteção para dispositivos móveis é realizada pelo departamento de tecnologia da informação e é obrigatória para todos os equipamentos corporativos; 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 caso de perda ou furto de um dispositivo de armazenamento removível, o usuário deve comunicar imediatamente o departamento de segurança patrimonial para que possam ser tomadas as medidas cabíveis.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Armazenamento remoto (nuvem)</w:t>
      </w:r>
    </w:p>
    <w:p w:rsidR="00000000" w:rsidDel="00000000" w:rsidP="00000000" w:rsidRDefault="00000000" w:rsidRPr="00000000" w14:paraId="00000034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disponibiliza para seus usuários espaço para armazenamento remoto de arquivos na nuvem, através de sua solução corporativa;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é permitido o uso de qualquer outra solução de armazenamento na nuvem, que não seja a oficialmente adotada pela empresa e homologada pela equipe de segurança da informação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Identificação digital</w:t>
      </w:r>
    </w:p>
    <w:p w:rsidR="00000000" w:rsidDel="00000000" w:rsidP="00000000" w:rsidRDefault="00000000" w:rsidRPr="00000000" w14:paraId="00000039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poderá, a seu critério exclusivo, fornecer certificados digitais para usuários que execução de atividades profissionais específicas, devendo ser observadas as seguintes diretrizes: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Cabe exclusivamente ao usuário a conservação de seu certificado digital, independentemente do equipamento que o suporte, bem como de qualquer tipo de senha ou meio de autenticação relacionado ao mesmo.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deverá informar a equipe de segurança da informação sobre qualquer eventos ou suspeitas relativas ao comprometimento de sua senha e/ou o uso indevido de seu certificado digital;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desligado ou em processo de desligamento terá o certificado digital expedido pela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imediatamente revogado;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de responsabilidade da área de segurança da informação prover a atualização de todos os pontos de verificação com as respectivas listas de revogação.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Equipamentos de impressão e reprografia</w:t>
      </w:r>
    </w:p>
    <w:p w:rsidR="00000000" w:rsidDel="00000000" w:rsidP="00000000" w:rsidRDefault="00000000" w:rsidRPr="00000000" w14:paraId="00000044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uso de equipamentos de impressão e reprografia (fotocopiadoras) deve ser feito exclusivamente para a impressão/reprodução de documentos que sejam de interesse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ou que estejam relacionados com o desempenho das atividades profissionais do usuário.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deve observar as seguintes disposições específicas quanto ao uso de equipamentos de impressão e reprografia: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deve retirar imediatamente da impressora ou fotocopiadora os documentos que tenha solicitado a impressão, transmissão ou cópia que contenham informações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classificadas como de uso interno ou confidencial;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impressão ou cópia de documento em suporte físico deve ser limitada à quantidade exata necessária para a tarefa determinada;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será admissível, em nenhuma hipótese, o reaproveitamento de páginas já impressas e contendo informações classificadas como confidenciais, devendo as mesmas ser descartadas de acordo com os procedimentos adotados pela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Segurança física</w:t>
      </w:r>
    </w:p>
    <w:p w:rsidR="00000000" w:rsidDel="00000000" w:rsidP="00000000" w:rsidRDefault="00000000" w:rsidRPr="00000000" w14:paraId="0000004F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instalações de processamento das informações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serão mantidas em áreas seguras, cujo perímetro é fisicamente isolado contra o acesso não autorizado, os danos e quaisquer interferências de origem humana ou natural.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8" w:right="0" w:hanging="69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usuário deve observar as seguintes disposições específicas quanto à segurança física: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Crachás de identificação, inclusive temporários, são pessoais e intransferíveis. Sob nenhuma circunstância será permitido o seu compartilhamento;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Enquanto em áreas sensíveis, os colaboradores devem portar crachás de identificação que exibam claramente seu nome e fotografia. Terceiros autorizados devem portar crachás temporários identificando claramente que os mesmos não são colaboradores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Excetuando-se quando formalmente autorizado, terceiros nunca devem ser deixados sozinhos em áreas sensíveis;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proibida qualquer tentativa de se obter ou permitir o acesso a indivíduos não autorizado a áreas sensíveis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resguardado 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 direito de inspecionar malas, maletas, mochilas e similares, assim como quaisquer equipamentos, incluindo dispositivos móveis, antes de permitir a entrada ou saída de colaboradores ou terceiros de áreas sensíveis;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resguardado 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 direito de monitorar seus ambientes físicos. Para isso será utilizado sistema de circuito fechado de televisão em áreas comuns. As imagens obtidas serão armazenadas e protegidas contra qualquer tipo de manipulação indevida;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documentos classificados como internos ou confidenciais, após manuseados, não deverão ser deixados expostos em cima de mesas, assim, ao se ausentar cabe usuário o dever de mantê-los guardados ou descartá-los de acordo com os procedimentos determinados organização;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7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2127" w:right="0" w:hanging="104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é permitido consumir qualquer tipo de alimento, bebida ou fumar em áreas apontadas como sensíveis.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Papéis e Responsabilidades</w:t>
      </w:r>
    </w:p>
    <w:p w:rsidR="00000000" w:rsidDel="00000000" w:rsidP="00000000" w:rsidRDefault="00000000" w:rsidRPr="00000000" w14:paraId="00000064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GERÊNCIA DE SEGURANÇA DA INFORMAÇÃO</w:t>
      </w:r>
    </w:p>
    <w:p w:rsidR="00000000" w:rsidDel="00000000" w:rsidP="00000000" w:rsidRDefault="00000000" w:rsidRPr="00000000" w14:paraId="00000066">
      <w:pPr>
        <w:spacing w:after="0" w:line="240" w:lineRule="auto"/>
        <w:ind w:left="122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2"/>
          <w:numId w:val="1"/>
        </w:numPr>
        <w:spacing w:after="0" w:line="240" w:lineRule="auto"/>
        <w:ind w:left="1418" w:right="0" w:hanging="69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É responsabilidade da Gerência de Segurança da Informação:</w:t>
      </w:r>
    </w:p>
    <w:p w:rsidR="00000000" w:rsidDel="00000000" w:rsidP="00000000" w:rsidRDefault="00000000" w:rsidRPr="00000000" w14:paraId="00000068">
      <w:pPr>
        <w:spacing w:after="0" w:line="240" w:lineRule="auto"/>
        <w:ind w:left="1728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Estabelecer e manter atualizados os procedimentos complementares a esta norma;</w:t>
      </w:r>
    </w:p>
    <w:p w:rsidR="00000000" w:rsidDel="00000000" w:rsidP="00000000" w:rsidRDefault="00000000" w:rsidRPr="00000000" w14:paraId="0000006A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Comunicar ao CGSI eventuais tentativas, bem sucedidas ou não, de desvio de conduta dos termos dessa norma.</w:t>
      </w:r>
    </w:p>
    <w:p w:rsidR="00000000" w:rsidDel="00000000" w:rsidP="00000000" w:rsidRDefault="00000000" w:rsidRPr="00000000" w14:paraId="0000006C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Sanções e Punições</w:t>
      </w:r>
    </w:p>
    <w:p w:rsidR="00000000" w:rsidDel="00000000" w:rsidP="00000000" w:rsidRDefault="00000000" w:rsidRPr="00000000" w14:paraId="0000006E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Sanções e punições serão aplicadas conforme previsto na Política Geral de Segurança da Informação.</w:t>
      </w:r>
    </w:p>
    <w:p w:rsidR="00000000" w:rsidDel="00000000" w:rsidP="00000000" w:rsidRDefault="00000000" w:rsidRPr="00000000" w14:paraId="00000070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Revisões</w:t>
      </w:r>
    </w:p>
    <w:p w:rsidR="00000000" w:rsidDel="00000000" w:rsidP="00000000" w:rsidRDefault="00000000" w:rsidRPr="00000000" w14:paraId="00000072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 norma é revisada com periodicidade anual ou conforme o entendimento do Comitê Gestor de Segurança da Informação.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Gestão da Norma</w:t>
      </w:r>
    </w:p>
    <w:p w:rsidR="00000000" w:rsidDel="00000000" w:rsidP="00000000" w:rsidRDefault="00000000" w:rsidRPr="00000000" w14:paraId="00000075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norma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N-SI-002</w:t>
      </w:r>
      <w:r w:rsidDel="00000000" w:rsidR="00000000" w:rsidRPr="00000000">
        <w:rPr>
          <w:rFonts w:ascii="Arial" w:cs="Arial" w:eastAsia="Arial" w:hAnsi="Arial"/>
          <w:rtl w:val="0"/>
        </w:rPr>
        <w:t xml:space="preserve"> é aprovada pelo Comitê Gestor de Segurança da Informação, em conjunto com a Diretoria da DHL LOGÍSTICA.</w:t>
      </w:r>
    </w:p>
    <w:p w:rsidR="00000000" w:rsidDel="00000000" w:rsidP="00000000" w:rsidRDefault="00000000" w:rsidRPr="00000000" w14:paraId="00000077">
      <w:pPr>
        <w:spacing w:after="0" w:line="240" w:lineRule="auto"/>
        <w:ind w:left="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bookmarkStart w:colFirst="0" w:colLast="0" w:name="_21qw3cw68r9k" w:id="0"/>
      <w:bookmarkEnd w:id="0"/>
      <w:r w:rsidDel="00000000" w:rsidR="00000000" w:rsidRPr="00000000">
        <w:rPr>
          <w:rFonts w:ascii="Arial" w:cs="Arial" w:eastAsia="Arial" w:hAnsi="Arial"/>
          <w:rtl w:val="0"/>
        </w:rPr>
        <w:t xml:space="preserve">A presente norma foi aprovada no dia 24/01/2017</w:t>
      </w:r>
    </w:p>
    <w:p w:rsidR="00000000" w:rsidDel="00000000" w:rsidP="00000000" w:rsidRDefault="00000000" w:rsidRPr="00000000" w14:paraId="00000079">
      <w:pPr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18.0" w:type="dxa"/>
        <w:jc w:val="left"/>
        <w:tblInd w:w="-31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015"/>
        <w:gridCol w:w="232"/>
        <w:gridCol w:w="4771"/>
        <w:tblGridChange w:id="0">
          <w:tblGrid>
            <w:gridCol w:w="5015"/>
            <w:gridCol w:w="232"/>
            <w:gridCol w:w="477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2601278" cy="1138059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278" cy="113805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Peterson Wiggers – Presidente</w:t>
            </w:r>
          </w:p>
        </w:tc>
        <w:tc>
          <w:tcPr/>
          <w:p w:rsidR="00000000" w:rsidDel="00000000" w:rsidP="00000000" w:rsidRDefault="00000000" w:rsidRPr="00000000" w14:paraId="0000008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Iago Schlemper– Vice-Presidente</w:t>
            </w:r>
          </w:p>
        </w:tc>
      </w:tr>
    </w:tbl>
    <w:p w:rsidR="00000000" w:rsidDel="00000000" w:rsidP="00000000" w:rsidRDefault="00000000" w:rsidRPr="00000000" w14:paraId="00000084">
      <w:pPr>
        <w:spacing w:after="0" w:line="240" w:lineRule="auto"/>
        <w:ind w:left="42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240" w:lineRule="auto"/>
        <w:ind w:left="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17" w:top="1417" w:left="1701" w:right="72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8644.0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8330"/>
      <w:gridCol w:w="314"/>
      <w:tblGridChange w:id="0">
        <w:tblGrid>
          <w:gridCol w:w="8330"/>
          <w:gridCol w:w="314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DHL LOGÍSTICA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– Norma de uso aceitável de ativos de informação – Uso interno</w:t>
          </w:r>
        </w:p>
      </w:tc>
      <w:tc>
        <w:tcPr/>
        <w:p w:rsidR="00000000" w:rsidDel="00000000" w:rsidP="00000000" w:rsidRDefault="00000000" w:rsidRPr="00000000" w14:paraId="0000009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tbl>
    <w:tblPr>
      <w:tblStyle w:val="Table2"/>
      <w:tblW w:w="9886.0" w:type="dxa"/>
      <w:jc w:val="left"/>
      <w:tblInd w:w="-31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1873"/>
      <w:gridCol w:w="4370"/>
      <w:gridCol w:w="1841"/>
      <w:gridCol w:w="1802"/>
      <w:tblGridChange w:id="0">
        <w:tblGrid>
          <w:gridCol w:w="1873"/>
          <w:gridCol w:w="4370"/>
          <w:gridCol w:w="1841"/>
          <w:gridCol w:w="1802"/>
        </w:tblGrid>
      </w:tblGridChange>
    </w:tblGrid>
    <w:tr>
      <w:trPr>
        <w:cantSplit w:val="0"/>
        <w:trHeight w:val="74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8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ind w:left="-108" w:firstLine="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restart"/>
          <w:vAlign w:val="center"/>
        </w:tcPr>
        <w:p w:rsidR="00000000" w:rsidDel="00000000" w:rsidP="00000000" w:rsidRDefault="00000000" w:rsidRPr="00000000" w14:paraId="00000089">
          <w:pPr>
            <w:spacing w:after="0" w:line="240" w:lineRule="auto"/>
            <w:jc w:val="center"/>
            <w:rPr>
              <w:rFonts w:ascii="Arial" w:cs="Arial" w:eastAsia="Arial" w:hAnsi="Arial"/>
              <w:b w:val="1"/>
              <w:bCs w:val="1"/>
              <w:smallCaps w:val="1"/>
              <w:color w:val="002060"/>
              <w:sz w:val="28"/>
              <w:szCs w:val="28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28"/>
              <w:szCs w:val="28"/>
              <w:rtl w:val="0"/>
            </w:rPr>
            <w:t xml:space="preserve">NORMA DE USO ACEITÁVEL DE ATIVOS DE INFORMAÇÃO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A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Emissão</w:t>
          </w:r>
        </w:p>
        <w:p w:rsidR="00000000" w:rsidDel="00000000" w:rsidP="00000000" w:rsidRDefault="00000000" w:rsidRPr="00000000" w14:paraId="0000008B">
          <w:pPr>
            <w:spacing w:after="120" w:before="120" w:line="288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21/03/2026</w:t>
          </w:r>
        </w:p>
      </w:tc>
      <w:tc>
        <w:tcPr/>
        <w:p w:rsidR="00000000" w:rsidDel="00000000" w:rsidP="00000000" w:rsidRDefault="00000000" w:rsidRPr="00000000" w14:paraId="0000008C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Classificação</w:t>
          </w:r>
        </w:p>
        <w:p w:rsidR="00000000" w:rsidDel="00000000" w:rsidP="00000000" w:rsidRDefault="00000000" w:rsidRPr="00000000" w14:paraId="0000008D">
          <w:pPr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Uso interno</w:t>
          </w:r>
        </w:p>
      </w:tc>
    </w:tr>
    <w:tr>
      <w:trPr>
        <w:cantSplit w:val="0"/>
        <w:trHeight w:val="74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E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Código</w:t>
          </w:r>
        </w:p>
        <w:p w:rsidR="00000000" w:rsidDel="00000000" w:rsidP="00000000" w:rsidRDefault="00000000" w:rsidRPr="00000000" w14:paraId="0000008F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ind w:left="-108" w:firstLine="0"/>
            <w:jc w:val="center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N-SI-002</w:t>
          </w: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09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1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Versão</w:t>
          </w:r>
        </w:p>
        <w:p w:rsidR="00000000" w:rsidDel="00000000" w:rsidP="00000000" w:rsidRDefault="00000000" w:rsidRPr="00000000" w14:paraId="00000092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1.02</w:t>
          </w:r>
        </w:p>
      </w:tc>
      <w:tc>
        <w:tcPr/>
        <w:p w:rsidR="00000000" w:rsidDel="00000000" w:rsidP="00000000" w:rsidRDefault="00000000" w:rsidRPr="00000000" w14:paraId="00000093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Aprovado por:</w:t>
          </w:r>
        </w:p>
        <w:p w:rsidR="00000000" w:rsidDel="00000000" w:rsidP="00000000" w:rsidRDefault="00000000" w:rsidRPr="00000000" w14:paraId="00000094">
          <w:pPr>
            <w:tabs>
              <w:tab w:val="center" w:leader="none" w:pos="4513"/>
              <w:tab w:val="right" w:leader="none" w:pos="9026"/>
            </w:tabs>
            <w:spacing w:after="0" w:line="288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Peterson Wiggers</w:t>
          </w:r>
        </w:p>
      </w:tc>
    </w:tr>
  </w:tbl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