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1a365d"/>
        </w:rPr>
      </w:pPr>
      <w:r w:rsidDel="00000000" w:rsidR="00000000" w:rsidRPr="00000000">
        <w:rPr>
          <w:rFonts w:ascii="Arial" w:cs="Arial" w:eastAsia="Arial" w:hAnsi="Arial"/>
          <w:color w:val="1a365d"/>
          <w:rtl w:val="0"/>
        </w:rPr>
        <w:t xml:space="preserve">Advanced SolaX Parallel Inverter Automation Architecture (V3)</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This specification establishes the definitive engineering blueprint for a resilient, production-grade home energy management daemon. The software orchestrates twin SolaX Hybrid Gen 4 Inverters operating in a parallel topology, executing optimal market-aware scheduling while maintaining absolute asset preservation, electrical fault isolation, and hardware-enforced safety loops.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25"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c5282"/>
        </w:rPr>
      </w:pPr>
      <w:r w:rsidDel="00000000" w:rsidR="00000000" w:rsidRPr="00000000">
        <w:rPr>
          <w:rFonts w:ascii="Arial" w:cs="Arial" w:eastAsia="Arial" w:hAnsi="Arial"/>
          <w:color w:val="2c5282"/>
          <w:rtl w:val="0"/>
        </w:rPr>
        <w:t xml:space="preserve">Section 0: System Architecture, Legacy Software, and Operational Topology</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The physical deployment consists of two SolaX Hybrid Gen 4 Inverters linked together via a dedicated hardware CAN bus connection for native master/slave synchronization. The storage network comprises 34.8 kWh of gross capacity (31.3 kWh net usable at 90% Depth of Discharge) distributed across 6 SolaX Triple Power battery modules. These modules are structurally divided into two completely isolated physical sub-banks (3 modules hardwired directly to Inverter 1 and 3 modules hardwired directly to Inverter 2) to eliminate the risk of physical cross-inverter DC loops.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The automation daemon executes locally on a Raspberry Pi, sharing the control plane with a legacy cloud environment comprising the SolaX Cloud API (read-only historical parameters) and Octopus Charge Pack / Intelligent Octopus Go (IOG) for EV charging. Normal maximum domestic consumption peaks within a predictable 4.0 kW to 5.0 kW boundary, as EV charging draws are pulled directly from dedicated grid lines, shielding the home storage bank from high-current vehicle loads.</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c5282"/>
        </w:rPr>
      </w:pPr>
      <w:r w:rsidDel="00000000" w:rsidR="00000000" w:rsidRPr="00000000">
        <w:rPr>
          <w:rFonts w:ascii="Arial" w:cs="Arial" w:eastAsia="Arial" w:hAnsi="Arial"/>
          <w:color w:val="2c5282"/>
          <w:rtl w:val="0"/>
        </w:rPr>
        <w:t xml:space="preserve">Section 1: Operational Strategy and Economic Logic</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Advanced home energy management requires a transition from binary scheduling to predictive, reactive systems. To ensure a net financial benefit, the software executes distinct seasonal routines:</w:t>
      </w:r>
    </w:p>
    <w:tbl>
      <w:tblPr>
        <w:tblStyle w:val="Table1"/>
        <w:tblW w:w="9360.0" w:type="dxa"/>
        <w:jc w:val="left"/>
        <w:tblBorders>
          <w:top w:color="e2e8f0" w:space="0" w:sz="6" w:val="single"/>
          <w:left w:color="e2e8f0" w:space="0" w:sz="6" w:val="single"/>
          <w:bottom w:color="e2e8f0" w:space="0" w:sz="6" w:val="single"/>
          <w:right w:color="e2e8f0" w:space="0" w:sz="6" w:val="single"/>
          <w:insideH w:color="e2e8f0" w:space="0" w:sz="6" w:val="single"/>
          <w:insideV w:color="e2e8f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ebf8ff" w:val="clear"/>
            <w:tcMar>
              <w:top w:w="150.0" w:type="dxa"/>
              <w:left w:w="150.0" w:type="dxa"/>
              <w:bottom w:w="150.0" w:type="dxa"/>
              <w:right w:w="15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b w:val="1"/>
                <w:bCs w:val="1"/>
                <w:color w:val="2d3748"/>
                <w:shd w:fill="auto" w:val="clear"/>
              </w:rPr>
            </w:pPr>
            <w:r w:rsidDel="00000000" w:rsidR="00000000" w:rsidRPr="00000000">
              <w:rPr>
                <w:rFonts w:ascii="Arial" w:cs="Arial" w:eastAsia="Arial" w:hAnsi="Arial"/>
                <w:b w:val="1"/>
                <w:bCs w:val="1"/>
                <w:color w:val="2d3748"/>
                <w:shd w:fill="auto" w:val="clear"/>
                <w:rtl w:val="0"/>
              </w:rPr>
              <w:t xml:space="preserve">Time Window</w:t>
            </w:r>
          </w:p>
        </w:tc>
        <w:tc>
          <w:tcPr>
            <w:shd w:fill="ebf8ff" w:val="clear"/>
            <w:tcMar>
              <w:top w:w="150.0" w:type="dxa"/>
              <w:left w:w="150.0" w:type="dxa"/>
              <w:bottom w:w="150.0" w:type="dxa"/>
              <w:right w:w="15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b w:val="1"/>
                <w:bCs w:val="1"/>
                <w:color w:val="2d3748"/>
                <w:shd w:fill="auto" w:val="clear"/>
              </w:rPr>
            </w:pPr>
            <w:r w:rsidDel="00000000" w:rsidR="00000000" w:rsidRPr="00000000">
              <w:rPr>
                <w:rFonts w:ascii="Arial" w:cs="Arial" w:eastAsia="Arial" w:hAnsi="Arial"/>
                <w:b w:val="1"/>
                <w:bCs w:val="1"/>
                <w:color w:val="2d3748"/>
                <w:shd w:fill="auto" w:val="clear"/>
                <w:rtl w:val="0"/>
              </w:rPr>
              <w:t xml:space="preserve">Condition / Season</w:t>
            </w:r>
          </w:p>
        </w:tc>
        <w:tc>
          <w:tcPr>
            <w:shd w:fill="ebf8ff" w:val="clear"/>
            <w:tcMar>
              <w:top w:w="150.0" w:type="dxa"/>
              <w:left w:w="150.0" w:type="dxa"/>
              <w:bottom w:w="150.0" w:type="dxa"/>
              <w:right w:w="15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b w:val="1"/>
                <w:bCs w:val="1"/>
                <w:color w:val="2d3748"/>
                <w:shd w:fill="auto" w:val="clear"/>
              </w:rPr>
            </w:pPr>
            <w:r w:rsidDel="00000000" w:rsidR="00000000" w:rsidRPr="00000000">
              <w:rPr>
                <w:rFonts w:ascii="Arial" w:cs="Arial" w:eastAsia="Arial" w:hAnsi="Arial"/>
                <w:b w:val="1"/>
                <w:bCs w:val="1"/>
                <w:color w:val="2d3748"/>
                <w:shd w:fill="auto" w:val="clear"/>
                <w:rtl w:val="0"/>
              </w:rPr>
              <w:t xml:space="preserve">Automation Logic</w:t>
            </w:r>
          </w:p>
        </w:tc>
        <w:tc>
          <w:tcPr>
            <w:shd w:fill="ebf8ff" w:val="clear"/>
            <w:tcMar>
              <w:top w:w="150.0" w:type="dxa"/>
              <w:left w:w="150.0" w:type="dxa"/>
              <w:bottom w:w="150.0" w:type="dxa"/>
              <w:right w:w="15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b w:val="1"/>
                <w:bCs w:val="1"/>
                <w:color w:val="2d3748"/>
                <w:shd w:fill="auto" w:val="clear"/>
              </w:rPr>
            </w:pPr>
            <w:r w:rsidDel="00000000" w:rsidR="00000000" w:rsidRPr="00000000">
              <w:rPr>
                <w:rFonts w:ascii="Arial" w:cs="Arial" w:eastAsia="Arial" w:hAnsi="Arial"/>
                <w:b w:val="1"/>
                <w:bCs w:val="1"/>
                <w:color w:val="2d3748"/>
                <w:shd w:fill="auto" w:val="clear"/>
                <w:rtl w:val="0"/>
              </w:rPr>
              <w:t xml:space="preserve">Economic Benefit</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 </w:t>
            </w:r>
          </w:p>
        </w:tc>
      </w:tr>
      <w:tr>
        <w:trPr>
          <w:cantSplit w:val="0"/>
          <w:tblHeader w:val="0"/>
        </w:trPr>
        <w:tc>
          <w:tcPr>
            <w:shd w:fill="auto" w:val="clear"/>
            <w:tcMar>
              <w:top w:w="150.0" w:type="dxa"/>
              <w:left w:w="150.0" w:type="dxa"/>
              <w:bottom w:w="150.0" w:type="dxa"/>
              <w:right w:w="15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23:30</w:t>
            </w:r>
          </w:p>
        </w:tc>
        <w:tc>
          <w:tcPr>
            <w:shd w:fill="auto" w:val="clear"/>
            <w:tcMar>
              <w:top w:w="150.0" w:type="dxa"/>
              <w:left w:w="150.0" w:type="dxa"/>
              <w:bottom w:w="150.0" w:type="dxa"/>
              <w:right w:w="15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All Seasons</w:t>
            </w:r>
          </w:p>
        </w:tc>
        <w:tc>
          <w:tcPr>
            <w:shd w:fill="auto" w:val="clear"/>
            <w:tcMar>
              <w:top w:w="150.0" w:type="dxa"/>
              <w:left w:w="150.0" w:type="dxa"/>
              <w:bottom w:w="150.0" w:type="dxa"/>
              <w:right w:w="15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Force charge battery from the grid, capping target dynamically based on the morning solar forecast.</w:t>
            </w:r>
          </w:p>
        </w:tc>
        <w:tc>
          <w:tcPr>
            <w:shd w:fill="auto" w:val="clear"/>
            <w:tcMar>
              <w:top w:w="150.0" w:type="dxa"/>
              <w:left w:w="150.0" w:type="dxa"/>
              <w:bottom w:w="150.0" w:type="dxa"/>
              <w:right w:w="15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Secures baseline fuel at the absolute floor price via Intelligent Octopus Go.</w:t>
            </w:r>
          </w:p>
        </w:tc>
      </w:tr>
      <w:tr>
        <w:trPr>
          <w:cantSplit w:val="0"/>
          <w:tblHeader w:val="0"/>
        </w:trPr>
        <w:tc>
          <w:tcPr>
            <w:shd w:fill="f7fafc" w:val="clear"/>
            <w:tcMar>
              <w:top w:w="150.0" w:type="dxa"/>
              <w:left w:w="150.0" w:type="dxa"/>
              <w:bottom w:w="150.0" w:type="dxa"/>
              <w:right w:w="15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05:30 - Sunrise</w:t>
            </w:r>
          </w:p>
        </w:tc>
        <w:tc>
          <w:tcPr>
            <w:shd w:fill="f7fafc" w:val="clear"/>
            <w:tcMar>
              <w:top w:w="150.0" w:type="dxa"/>
              <w:left w:w="150.0" w:type="dxa"/>
              <w:bottom w:w="150.0" w:type="dxa"/>
              <w:right w:w="15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Shoulder Months (Spring/Autumn)</w:t>
            </w:r>
          </w:p>
        </w:tc>
        <w:tc>
          <w:tcPr>
            <w:shd w:fill="f7fafc" w:val="clear"/>
            <w:tcMar>
              <w:top w:w="150.0" w:type="dxa"/>
              <w:left w:w="150.0" w:type="dxa"/>
              <w:bottom w:w="150.0" w:type="dxa"/>
              <w:right w:w="15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Enforce SHOULDER_MORNING_BUFFER; hold and use calculated energy to run the house until sun activates.</w:t>
            </w:r>
          </w:p>
        </w:tc>
        <w:tc>
          <w:tcPr>
            <w:shd w:fill="f7fafc" w:val="clear"/>
            <w:tcMar>
              <w:top w:w="150.0" w:type="dxa"/>
              <w:left w:w="150.0" w:type="dxa"/>
              <w:bottom w:w="150.0" w:type="dxa"/>
              <w:right w:w="15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Shields the home from peak daytime import costs during early morning routines.</w:t>
            </w:r>
          </w:p>
        </w:tc>
      </w:tr>
      <w:tr>
        <w:trPr>
          <w:cantSplit w:val="0"/>
          <w:tblHeader w:val="0"/>
        </w:trPr>
        <w:tc>
          <w:tcPr>
            <w:shd w:fill="auto" w:val="clear"/>
            <w:tcMar>
              <w:top w:w="150.0" w:type="dxa"/>
              <w:left w:w="150.0" w:type="dxa"/>
              <w:bottom w:w="150.0" w:type="dxa"/>
              <w:right w:w="15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17:00 - 21:00</w:t>
            </w:r>
          </w:p>
        </w:tc>
        <w:tc>
          <w:tcPr>
            <w:shd w:fill="auto" w:val="clear"/>
            <w:tcMar>
              <w:top w:w="150.0" w:type="dxa"/>
              <w:left w:w="150.0" w:type="dxa"/>
              <w:bottom w:w="150.0" w:type="dxa"/>
              <w:right w:w="15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Winter Peaks</w:t>
            </w:r>
          </w:p>
        </w:tc>
        <w:tc>
          <w:tcPr>
            <w:shd w:fill="auto" w:val="clear"/>
            <w:tcMar>
              <w:top w:w="150.0" w:type="dxa"/>
              <w:left w:w="150.0" w:type="dxa"/>
              <w:bottom w:w="150.0" w:type="dxa"/>
              <w:right w:w="15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Monitor EV plug-in state; handle early IOG slot triggers with rapid, time-bounded top-ups.</w:t>
            </w:r>
          </w:p>
        </w:tc>
        <w:tc>
          <w:tcPr>
            <w:shd w:fill="auto" w:val="clear"/>
            <w:tcMar>
              <w:top w:w="150.0" w:type="dxa"/>
              <w:left w:w="150.0" w:type="dxa"/>
              <w:bottom w:w="150.0" w:type="dxa"/>
              <w:right w:w="15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rPr>
            </w:pPr>
            <w:r w:rsidDel="00000000" w:rsidR="00000000" w:rsidRPr="00000000">
              <w:rPr>
                <w:rFonts w:ascii="Arial" w:cs="Arial" w:eastAsia="Arial" w:hAnsi="Arial"/>
                <w:color w:val="4a5568"/>
                <w:rtl w:val="0"/>
              </w:rPr>
              <w:t xml:space="preserve">Bypasses heavy cooking/heating loads at peak domestic import rates.</w:t>
            </w:r>
          </w:p>
        </w:tc>
      </w:tr>
      <w:tr>
        <w:trPr>
          <w:cantSplit w:val="0"/>
          <w:tblHeader w:val="0"/>
        </w:trPr>
        <w:tc>
          <w:tcPr>
            <w:shd w:fill="f7fafc" w:val="clear"/>
            <w:tcMar>
              <w:top w:w="150.0" w:type="dxa"/>
              <w:left w:w="150.0" w:type="dxa"/>
              <w:bottom w:w="150.0" w:type="dxa"/>
              <w:right w:w="15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22:00</w:t>
            </w:r>
          </w:p>
        </w:tc>
        <w:tc>
          <w:tcPr>
            <w:shd w:fill="f7fafc" w:val="clear"/>
            <w:tcMar>
              <w:top w:w="150.0" w:type="dxa"/>
              <w:left w:w="150.0" w:type="dxa"/>
              <w:bottom w:w="150.0" w:type="dxa"/>
              <w:right w:w="15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Summer (Solar Filled)</w:t>
            </w:r>
          </w:p>
        </w:tc>
        <w:tc>
          <w:tcPr>
            <w:shd w:fill="f7fafc" w:val="clear"/>
            <w:tcMar>
              <w:top w:w="150.0" w:type="dxa"/>
              <w:left w:w="150.0" w:type="dxa"/>
              <w:bottom w:w="150.0" w:type="dxa"/>
              <w:right w:w="15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Execute Dynamic Twilight Dump to export remaining excess solar battery capacity.</w:t>
            </w:r>
          </w:p>
        </w:tc>
        <w:tc>
          <w:tcPr>
            <w:shd w:fill="f7fafc" w:val="clear"/>
            <w:tcMar>
              <w:top w:w="150.0" w:type="dxa"/>
              <w:left w:w="150.0" w:type="dxa"/>
              <w:bottom w:w="150.0" w:type="dxa"/>
              <w:right w:w="15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50" w:before="150" w:lineRule="auto"/>
              <w:rPr>
                <w:rFonts w:ascii="Arial" w:cs="Arial" w:eastAsia="Arial" w:hAnsi="Arial"/>
                <w:color w:val="4a5568"/>
                <w:shd w:fill="auto" w:val="clear"/>
              </w:rPr>
            </w:pPr>
            <w:r w:rsidDel="00000000" w:rsidR="00000000" w:rsidRPr="00000000">
              <w:rPr>
                <w:rFonts w:ascii="Arial" w:cs="Arial" w:eastAsia="Arial" w:hAnsi="Arial"/>
                <w:color w:val="4a5568"/>
                <w:shd w:fill="auto" w:val="clear"/>
                <w:rtl w:val="0"/>
              </w:rPr>
              <w:t xml:space="preserve">Arbitrages free solar energy into export profit while dropping cell voltage stress.</w:t>
            </w:r>
          </w:p>
        </w:tc>
      </w:tr>
    </w:tbl>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1.3 The Physical Risk of Opposing Operational Modes</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When two inverters are operating in parallel on a single shared AC bus, divergent operational configurations represent a catastrophic physical risk rather than a simple software logic bug. If Inverter 1 transitions into a forced charge state (acting as a massive power load) while Inverter 2 simultaneously transitions into a forced discharge state (acting as a power source), large cross-inverter circulating currents will establish themselves instantaneously across the internal AC links.</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This circulating current bypasses both the domestic load profile and the utility grid, flowing directly from output stage to output stage. This event generates extreme localized thermal stress within the power electronics, risks immediate nuisance tripping of protection infrastructure, and subjects the internal insulated-gate bipolar transistor (IGBT) and MOSFET output stages to electrical forces they are fundamentally unequipped to absorb. SolaX's native parallel CAN-bus link is purpose-built to prevent this condition at the firmware layer by propagating master states to the slave unit automatically. The automation daemon must align completely with this safety architecture.</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25"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c5282"/>
        </w:rPr>
      </w:pPr>
      <w:r w:rsidDel="00000000" w:rsidR="00000000" w:rsidRPr="00000000">
        <w:rPr>
          <w:rFonts w:ascii="Arial" w:cs="Arial" w:eastAsia="Arial" w:hAnsi="Arial"/>
          <w:color w:val="2c5282"/>
          <w:rtl w:val="0"/>
        </w:rPr>
        <w:t xml:space="preserve">Section 2: Sandbox Co-existence and Orchestration Architecture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To prevent operational collisions with the running legacy setup, development transitions through three explicit sandbox phases:</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333333"/>
          <w:rtl w:val="0"/>
        </w:rPr>
        <w:t xml:space="preserve">Mocked Sandbox (Disconnected):</w:t>
      </w:r>
      <w:r w:rsidDel="00000000" w:rsidR="00000000" w:rsidRPr="00000000">
        <w:rPr>
          <w:rFonts w:ascii="Arial" w:cs="Arial" w:eastAsia="Arial" w:hAnsi="Arial"/>
          <w:color w:val="333333"/>
          <w:rtl w:val="0"/>
        </w:rPr>
        <w:t xml:space="preserve"> Software is executed in an isolated directory, interacting solely with a local mock TCP server simulating register responses. Legacy hardware runs unhindered.</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333333"/>
          <w:rtl w:val="0"/>
        </w:rPr>
        <w:t xml:space="preserve">Shadow Mode (Read-Only Listener):</w:t>
      </w:r>
      <w:r w:rsidDel="00000000" w:rsidR="00000000" w:rsidRPr="00000000">
        <w:rPr>
          <w:rFonts w:ascii="Arial" w:cs="Arial" w:eastAsia="Arial" w:hAnsi="Arial"/>
          <w:color w:val="333333"/>
          <w:rtl w:val="0"/>
        </w:rPr>
        <w:t xml:space="preserve"> Real Modbus TCP connection is established, but all write paths are bypassed by a hard conditional gate flag. Telemetry is parsed, and the optimization model records its theoretical actions to a local SQLite database for verification.</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333333"/>
          <w:rtl w:val="0"/>
        </w:rPr>
        <w:t xml:space="preserve">Active Override (Controlled Pausing):</w:t>
      </w:r>
      <w:r w:rsidDel="00000000" w:rsidR="00000000" w:rsidRPr="00000000">
        <w:rPr>
          <w:rFonts w:ascii="Arial" w:cs="Arial" w:eastAsia="Arial" w:hAnsi="Arial"/>
          <w:color w:val="333333"/>
          <w:rtl w:val="0"/>
        </w:rPr>
        <w:t xml:space="preserve"> The daemon assumes operational priority. To cleanly yield to or pause the legacy cloud management routines during active windows, a localized Master Integration Flag is shared via state files. If the daemon encounters an error, it releases the flag and forces a rollback, allowing legacy routines to assume control.</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rFonts w:ascii="Arial" w:cs="Arial" w:eastAsia="Arial" w:hAnsi="Arial"/>
          <w:color w:val="333333"/>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25"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c5282"/>
        </w:rPr>
      </w:pPr>
      <w:r w:rsidDel="00000000" w:rsidR="00000000" w:rsidRPr="00000000">
        <w:rPr>
          <w:rFonts w:ascii="Arial" w:cs="Arial" w:eastAsia="Arial" w:hAnsi="Arial"/>
          <w:color w:val="2c5282"/>
          <w:rtl w:val="0"/>
        </w:rPr>
        <w:t xml:space="preserve">Section 3: Modular Prompt Sequence &amp; Engineering Specifications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2c5282"/>
        </w:rPr>
      </w:pPr>
      <w:r w:rsidDel="00000000" w:rsidR="00000000" w:rsidRPr="00000000">
        <w:rPr>
          <w:rtl w:val="0"/>
        </w:rPr>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1: Hardware Interface, Idempotency, and Single Writer Constraints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To eliminate the danger of circulating currents, the primary control path must treat the parallel array as a single logical entity by writing configuration changes exclusively to Inverter 1 (The Master), relying entirely on SolaX's hardware CAN link to propagate the states to the slave. However, if firmware restrictions or network layouts necessitate independent Modbus control per unit, the software must explicitly sequence its writes using a strict confirmation loop (Two-Phase Commit) rather than firing concurrent async requests. Furthermore, writes must be strictly idempotent to eliminate contactor wear from continuous redundant rewrites, and the system must enforce a Single Writer paradigm via OS-level file locking to prevent competing scripts or stale processes from creating race conditions on the Modbus bus.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1:</w:t>
      </w:r>
      <w:r w:rsidDel="00000000" w:rsidR="00000000" w:rsidRPr="00000000">
        <w:rPr>
          <w:rFonts w:ascii="Arial" w:cs="Arial" w:eastAsia="Arial" w:hAnsi="Arial"/>
          <w:color w:val="333333"/>
          <w:rtl w:val="0"/>
        </w:rPr>
        <w:t xml:space="preserve"> Write an asynchronous Python module named SolaXParallelController using pymodbus. The module must connect to Inverter 1 (192.168.1.50:502) and Inverter 2 (192.168.1.51:502). Implement an OS-level file lock using fcntl or a shared lockfile (/dev/shm/solax_writer.lock) that enforces a strict Single Writer constraint, causing the process to immediately abort with a critical error if another instance attempts to bind to the write loop. Implement an </w:t>
      </w:r>
      <w:r w:rsidDel="00000000" w:rsidR="00000000" w:rsidRPr="00000000">
        <w:rPr>
          <w:rFonts w:ascii="Arial" w:cs="Arial" w:eastAsia="Arial" w:hAnsi="Arial"/>
          <w:b w:val="1"/>
          <w:bCs w:val="1"/>
          <w:color w:val="333333"/>
          <w:rtl w:val="0"/>
        </w:rPr>
        <w:t xml:space="preserve">Idempotent Write Layer</w:t>
      </w:r>
      <w:r w:rsidDel="00000000" w:rsidR="00000000" w:rsidRPr="00000000">
        <w:rPr>
          <w:rFonts w:ascii="Arial" w:cs="Arial" w:eastAsia="Arial" w:hAnsi="Arial"/>
          <w:color w:val="333333"/>
          <w:rtl w:val="0"/>
        </w:rPr>
        <w:t xml:space="preserve">: before executing any mode shift, the controller must poll the target inverter registers (0x001F, 0x0020). If the verified hardware state matches the desired automation state, the write operation must be cleanly bypassed to eliminate redundant relay cycling.</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If independent control per unit is explicitly enabled in the configuration file, the module must utilize a </w:t>
      </w:r>
      <w:r w:rsidDel="00000000" w:rsidR="00000000" w:rsidRPr="00000000">
        <w:rPr>
          <w:rFonts w:ascii="Arial" w:cs="Arial" w:eastAsia="Arial" w:hAnsi="Arial"/>
          <w:b w:val="1"/>
          <w:bCs w:val="1"/>
          <w:color w:val="333333"/>
          <w:rtl w:val="0"/>
        </w:rPr>
        <w:t xml:space="preserve">Sequenced Confirmation Write Pattern</w:t>
      </w:r>
      <w:r w:rsidDel="00000000" w:rsidR="00000000" w:rsidRPr="00000000">
        <w:rPr>
          <w:rFonts w:ascii="Arial" w:cs="Arial" w:eastAsia="Arial" w:hAnsi="Arial"/>
          <w:color w:val="333333"/>
          <w:rtl w:val="0"/>
        </w:rPr>
        <w:t xml:space="preserve"> instead of concurrent execution: write the target mode to Inverter 1, poll Inverter 1 continuously for up to 3 seconds until the register read matches the command, then write to Inverter 2. If Inverter 2 fails to confirm or encounters a network error, immediately halt the transition and execute a distributed rollback, reverting Inverter 1 back to its pre-existing baseline state to maintain system symmetry. Implement exponential backoff (3 retries max) for telemetry polling via asyncio.gather.</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Test via a mock network suite. Inject a mock connection failure exclusively onto Inverter 2 midway through a transition sequence. Expected Outcome: The system must detect that Inverter 2 failed confirmation, halt the sequence, and execute an immediate rollback command to Inverter 1 within 500ms, logging a critical transaction error.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Isolate development to branch feature/solax-modbus-core. Merge to develop via Pull Request upon passing mock unit suites.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1B: Decoupled High-Priority Safety Watchdog &amp; Lockout Controller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A critical architectural vulnerability in DIY energy automation is mixing best-effort optimization tasks (such as ML forecasting or tariff API parsing) with safety-critical protective operations inside a single execution thread. If the main optimization loop experiences network lag, long API timeouts, or a software freeze, the safety routines are blocked from running. To guarantee absolute protection against hardware divergence and circulating currents, the safety watchdog must operate as a completely independent, fast-polling, decoupled process whose response latency is entirely insulated from the optimizer.</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1B:</w:t>
      </w:r>
      <w:r w:rsidDel="00000000" w:rsidR="00000000" w:rsidRPr="00000000">
        <w:rPr>
          <w:rFonts w:ascii="Arial" w:cs="Arial" w:eastAsia="Arial" w:hAnsi="Arial"/>
          <w:color w:val="333333"/>
          <w:rtl w:val="0"/>
        </w:rPr>
        <w:t xml:space="preserve"> Design an independent, high-priority background safety service named SolaXHardwareWatchdog. This service must run in a completely separate execution thread or process from the main optimizer loop, maintaining a strict high-frequency polling cadence of 2 to 5 seconds. Its sole structural responsibility is to monitor for operational divergence between the parallel units. Every tick, read registers 0x001F, 0x0020, and 0x0016 (Battery Power) across both inverters. If the watchdog catches an opposing power flow condition (e.g., Inverter 1 charging while Inverter 2 is discharging) or an unaligned mode configuration that persists for more than 2 consecutive polling cycles, it must instantly intercept the control plane.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Upon detecting divergence, the watchdog must immediately bypass the optimization engine, broadcast a force-override command setting both units to native SELF_USE mode (0x001F = 0), and write a persistent HARDWARE_LOCKOUT = True entry to the local SQLite database. This lockout state must completely freeze the main optimizer loop, blocking it from issuing any further Modbus commands. The lockout state must be strictly persistent across system reboots and daemon restarts, requiring a deliberate, manual human operator CLI intervention (e.g., executing a specific script with a --clear-lockout flag) to restore automation capabilities. The watchdog must never attempt an automated resume.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Simulate a divergence condition by injecting false mismatched telemetry states into the database layer while the optimizer loop is executing. Expected Outcome: The independent watchdog must catch the divergence within 5 seconds, issue immediate emergency SELF_USE overrides, write the persistent lockout flag, and completely paralyze the optimizer loop. Verify that restarting the background services does not clear the lockout state.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Isolate development to branch feature/safety-watchdog. This represents a foundational safety milestone; code must be fully reviewed before integration.</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2: Solcast Data Ingestion Engine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Standard meteorological APIs only output generalized cloud-cover metrics, leading to critical solar undershooting. The Solcast API outputs solar-specific irradiance values mapped directly to your array orientation. It provides probabilistic metrics: PvEstimate10 (worst-case scenario), standard estimate, and PvEstimate90 (best-case scenario). The engine must parse these arrays to determine if winter charging requires aggressive grid injection or if summer sun can completely cover the dawn routine.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2:</w:t>
      </w:r>
      <w:r w:rsidDel="00000000" w:rsidR="00000000" w:rsidRPr="00000000">
        <w:rPr>
          <w:rFonts w:ascii="Arial" w:cs="Arial" w:eastAsia="Arial" w:hAnsi="Arial"/>
          <w:color w:val="333333"/>
          <w:rtl w:val="0"/>
        </w:rPr>
        <w:t xml:space="preserve"> Write a Python service SolarForecaster that integrates with the Solcast REST API. Every night at 23:00, fetch the upcoming day's 30-minute interval generation array. Parse the PvEstimate10 metric. Calculate the "Dead Window Duration"—the precise time delta between the 05:30 IOG off-peak cutoff and the point where morning solar production continuously crosses and sustains above 1.0 kW. If the API returns a 4XX/5XX error or times out, catch the exception, log a WARNING, and execute a hardcoded, calendar-month lookup table fallback (Nov-Feb = 100% Target SoC, Mar-Apr/Sep-Oct = 35% Target SoC, May-Aug = 15% Target SoC).</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Inject a mock 504 Gateway Timeout into the HTTP client block. Expected Outcome: The forecaster must handle the failure gracefully without crashing the daemon loop, fallback to the monthly safe defaults, and issue an alert flag.</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Isolate development to branch feature/solcast-ingestion. Merge to develop upon confirmation of clean exception handling.</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3: Non-Wear Storage &amp; Capacity Auto-Tuning</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Writing high-frequency 30-second telemetry data directly to a Raspberry Pi SD card will physically burn out its flash storage memory cells within 12 months. Telemetry must be routed to a volatile RAM disk partition, while long-term analytical histories are batched to permanent storage. Furthermore, LiFePO4 batteries exhibit a gradual capacity fade over a 10-year lifespan. If the maximum battery volume variable is hardcoded to 34.8 kWh, the winter forecasting algorithms will eventually miscalculate and plan overnight charges that overfill the physical pack, resulting in rejected energy.</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3:</w:t>
      </w:r>
      <w:r w:rsidDel="00000000" w:rsidR="00000000" w:rsidRPr="00000000">
        <w:rPr>
          <w:rFonts w:ascii="Arial" w:cs="Arial" w:eastAsia="Arial" w:hAnsi="Arial"/>
          <w:color w:val="333333"/>
          <w:rtl w:val="0"/>
        </w:rPr>
        <w:t xml:space="preserve"> Build a database manager using sqlite3. Configure the system to pipe active 30-second logs to a Linux RAM disk partition (/logs/active_telemetry.db). Implement a rolling weekly job that executes at 02:00 every Sunday to append historical baselines to permanent storage (/data/solax_history.db). Write an auto-calibration loop: once every 30 days, trace a continuous full-charge or full-discharge cycle via Modbus Wh registers to calculate the true physical Effective_Max_Capacity_kWh. Pass this updated variable directly to the strategy modules. Concurrently, analyze trailing 30-day usage data to calculate the 98th-percentile domestic peak household load, filtering out anomalous high-current spikes.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Feed a synthetic 30-day telemetry history showing a simulated 5% battery capacity degradation curve. Expected Outcome: The database engine must execute zero permanent disk writes during the 30-second loop, and the auto-calibration script must successfully detect the capacity reduction, scale down the max storage boundary variable, and update the SQLite file during its weekly batch run.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Branch name: feature/pattern-learner.</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4: Asynchronous Predictive Strategy Engine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Standard scripts block execution threads with coarse sleep commands (e.g., time.sleep(900)) when yielding to external cloud events like Octopus Charge Pack slots. This completely locks the high-criticality loop, preventing the system from reading inverter faults or handling emergency safe-state rollbacks. The main loop must maintain its non-blocking 30-second cadence at all times, relying on an asynchronous State Lease Model written to volatile memory to tracking timing windows safely.</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4:</w:t>
      </w:r>
      <w:r w:rsidDel="00000000" w:rsidR="00000000" w:rsidRPr="00000000">
        <w:rPr>
          <w:rFonts w:ascii="Arial" w:cs="Arial" w:eastAsia="Arial" w:hAnsi="Arial"/>
          <w:color w:val="333333"/>
          <w:rtl w:val="0"/>
        </w:rPr>
        <w:t xml:space="preserve"> Write the core asynchronous 30-second state loop engine. The script must never block execution threads. When an external cloud coordination event is detected via register telemetry, the script must write an expiration timestamp to a volatile state file (/dev/shm/active_state.json) representing a 15-minute lease: Lease_Expiry = Current_Time + 900s. On every subsequent 30-second tick, evaluate if the lease is active. If true, bypass strategic rate updates but continue executing Modbus health checks and safety guardrails. Implement the strict state routing matrix: 23:30 (Off-Peak Charge Initializer), 05:30 to Sunrise (explicitly execute SHOULDER_MORNING_BUFFER routing using variables from Module 2), Daytime Self-Use, and 22:00 Summer Twilight Export.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Simulate an unexpected process crash and mid-window restart while an external IOG charging slot is running. Expected Outcome: Upon boot, the script must read active_state.json, instantly re-detect its active lease state without ambiguity, and keep high-criticality fault-checking active during its 30-second polling ticks.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Branch name: feature/strategy-engine. This represents a Major Integration Milestone; require a complete code review before merging to develop.</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5: Asymmetric Headroom Balancer &amp; Time-Bounded Rate Control</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Charging a battery introduces completely different physical and thermal stresses than discharging it. LiFePO4 cells easily handle continuous discharge rates up to 1.0C, but fast charging above 0.3C forces lithium ions to plate against the anode structure, driving up heat and cutting asset life short. The software must enforce asymmetric rate boundaries: a strict, low charge ceiling capped tightly for cell longevity, and a wider discharge limit to handle domestic draws. Additionally, rates must follow smooth, time-bounded glide paths ($\text{Energy Target} \div \text{Time Available}$) rather than rapid, binary current bursts.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5:</w:t>
      </w:r>
      <w:r w:rsidDel="00000000" w:rsidR="00000000" w:rsidRPr="00000000">
        <w:rPr>
          <w:rFonts w:ascii="Arial" w:cs="Arial" w:eastAsia="Arial" w:hAnsi="Arial"/>
          <w:color w:val="333333"/>
          <w:rtl w:val="0"/>
        </w:rPr>
        <w:t xml:space="preserve"> Build an asymmetric rate calculation module. Enforce a hard physical system-wide charging ceiling of 7.0 kW total (~3.5 kW per inverter, staying inside the cool 0.25C zone) and a hard chemical discharge floor of 2.0 kW total (~1.0 kW per inverter) during idle baseline periods to eliminate high-frequency transistor switching wear. When calculating the Summer Dynamic Twilight Export, divide the remaining solar surplus volume by the total available time window until 23:30 to output a perfectly linear, low-current export rate. For the 6:00 PM Winter EV window, calculate the precise Wh deficit needed to sustain the home until midnight and extract that power at the lowest necessary charge rate that satisfies the 1-hour window constraint.</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Pass a scenario requiring 6 kWh of energy injection across a simulated 2-hour window. Expected Outcome: The module must output a sustained, perfectly flat charging target command of exactly 3 kW total (1.5 kW to the master inverter) rather than a high-current 6 kW blast for 1 hour followed by idling.</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Branch name: feature/rate-throttler.</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6: Environmental State Confidence Gate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Standard rolling 30-day trials run in a single season create an illusion of safety. Running a 30-day shadow trial in July will thoroughly stress-test your summer export code paths, but it leaves the winter EV peak surge logic completely unexercised. Activating the software under those conditions means the first real-world test of the winter code occurs with live money and live hardware. The activation gate must require specific, verified seasonal data coverage or a full synthetic regression simulation before permitting write operations.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6:</w:t>
      </w:r>
      <w:r w:rsidDel="00000000" w:rsidR="00000000" w:rsidRPr="00000000">
        <w:rPr>
          <w:rFonts w:ascii="Arial" w:cs="Arial" w:eastAsia="Arial" w:hAnsi="Arial"/>
          <w:color w:val="333333"/>
          <w:rtl w:val="0"/>
        </w:rPr>
        <w:t xml:space="preserve"> Implement a gate check named EnvironmentalStateGate that controls the global variable SYSTEM_PRODUCTION_LIVE = False. The script must refuse to flip this variable to True unless the local SQLite database verifies that the software has successfully run in a read-only Shadow Mode for a minimum of 14 consecutive days matching the active seasonal weather path (Winter, Summer, or Shoulder). Alternatively, implement an integration script that runs a synthetic regression test using archived historical winter telemetry files. The engine must verify that the simulation resulted in a net positive financial return and experienced zero unhandled exceptions before unlocking write permissions.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Mock a 30-day shadow data history compiled entirely during summer conditions and attempt to execute a live winter activation. Expected Outcome: The system must successfully catch the seasonal mismatch, keep SYSTEM_PRODUCTION_LIVE firmly at False, log a security lock alert, and force the daemon to remain strictly in read-only Shadow Mode.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Branch name: feature/confidence-gate.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7: Octopus Energy REST API Integration &amp; DNO Export Clamp</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Baking hardcoded tariff rates directly into an energy engine creates an brittle application that will break the moment a utility modifies its pricing matrix. Tariffs must be dynamically pulled from a live API. Crucially, the system must respect your legal District Network Operator (DNO) export limit agreement under local grid regulations. If your software calculates an aggressive twilight export rate that breaches your legal DNO threshold, the system risks grid penalties or equipment isolation.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7:</w:t>
      </w:r>
      <w:r w:rsidDel="00000000" w:rsidR="00000000" w:rsidRPr="00000000">
        <w:rPr>
          <w:rFonts w:ascii="Arial" w:cs="Arial" w:eastAsia="Arial" w:hAnsi="Arial"/>
          <w:color w:val="333333"/>
          <w:rtl w:val="0"/>
        </w:rPr>
        <w:t xml:space="preserve"> Integrate a REST HTTP client module utilizing aiohttp to pull live pricing data from the official Octopus Energy API (/v1/products/ endpoints). The module must dynamically track upcoming half-hourly pricing rates for your active Intelligent Octopus Go profile. Inject a rigid, unchangeable software parameter ceiling named DNO_MAX_EXPORT_LIMIT_W into the top-level configurations. Ensure that regardless of what the strategic or machine-learning engines calculate for twilight exports, the final output code block clamps the master inverter write register to never exceed this legal grid boundary.</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Force the strategy engine to request a high 8 kW export rate while DNO_MAX_EXPORT_LIMIT_W is set to a strict 3.68 kW. Expected Outcome: The integration module must intercept the command, cap the final register output value to exactly 3680W, and issue a safety compliance log event.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Branch name: feature/octopus-api.</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8: WhatsApp Operational Notification Gateway</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Real-time operational transparency is necessary for any home automation loop, but a poorly managed alerting layer will spam your phone continuously during a heavy cooking or heating event. If a domestic demand spike breaches the active inverter battery cap, the system should issue an immediate alert, but it must instantly trigger a localized cooldown window to suppress subsequent messages while the load remains sustained.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8:</w:t>
      </w:r>
      <w:r w:rsidDel="00000000" w:rsidR="00000000" w:rsidRPr="00000000">
        <w:rPr>
          <w:rFonts w:ascii="Arial" w:cs="Arial" w:eastAsia="Arial" w:hAnsi="Arial"/>
          <w:color w:val="333333"/>
          <w:rtl w:val="0"/>
        </w:rPr>
        <w:t xml:space="preserve"> Write a notification handler utilizing the CallMeBot API to dispatch formatted WhatsApp alerts. Implement two strict communication structures:</w:t>
      </w:r>
    </w:p>
    <w:p w:rsidR="00000000" w:rsidDel="00000000" w:rsidP="00000000" w:rsidRDefault="00000000" w:rsidRPr="00000000" w14:paraId="00000061">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333333"/>
          <w:rtl w:val="0"/>
        </w:rPr>
        <w:t xml:space="preserve">The Weekly Auto-Tune Digest:</w:t>
      </w:r>
      <w:r w:rsidDel="00000000" w:rsidR="00000000" w:rsidRPr="00000000">
        <w:rPr>
          <w:rFonts w:ascii="Arial" w:cs="Arial" w:eastAsia="Arial" w:hAnsi="Arial"/>
          <w:color w:val="333333"/>
          <w:rtl w:val="0"/>
        </w:rPr>
        <w:t xml:space="preserve"> Dispatched every Sunday morning at 08:00 following the Module 3 training run. Format: </w:t>
      </w:r>
      <w:r w:rsidDel="00000000" w:rsidR="00000000" w:rsidRPr="00000000">
        <w:rPr>
          <w:rFonts w:ascii="Arial" w:cs="Arial" w:eastAsia="Arial" w:hAnsi="Arial"/>
          <w:i w:val="1"/>
          <w:iCs w:val="1"/>
          <w:color w:val="333333"/>
          <w:rtl w:val="0"/>
        </w:rPr>
        <w:t xml:space="preserve">"🤖 SolaX Auto-Tune Alert: New household peak load model compiled. Trailing 30D Peak: [X] kW. Applied 20% Safety Cap: [Y] kW. Status: Symmetrical Modbus limits updated successfully."</w:t>
      </w:r>
    </w:p>
    <w:p w:rsidR="00000000" w:rsidDel="00000000" w:rsidP="00000000" w:rsidRDefault="00000000" w:rsidRPr="00000000" w14:paraId="00000062">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color w:val="333333"/>
          <w:rtl w:val="0"/>
        </w:rPr>
        <w:t xml:space="preserve">The Load Surge Guardrail Alert:</w:t>
      </w:r>
      <w:r w:rsidDel="00000000" w:rsidR="00000000" w:rsidRPr="00000000">
        <w:rPr>
          <w:rFonts w:ascii="Arial" w:cs="Arial" w:eastAsia="Arial" w:hAnsi="Arial"/>
          <w:color w:val="333333"/>
          <w:rtl w:val="0"/>
        </w:rPr>
        <w:t xml:space="preserve"> Triggered in real time if Current_House_Load_W exceeds the active battery register cap. Upon firing, the script must write a 30-minute lock variable to memory. Suppress all subsequent load surge alerts during this cooldown period to prevent alerting fatigue. Format: </w:t>
      </w:r>
      <w:r w:rsidDel="00000000" w:rsidR="00000000" w:rsidRPr="00000000">
        <w:rPr>
          <w:rFonts w:ascii="Arial" w:cs="Arial" w:eastAsia="Arial" w:hAnsi="Arial"/>
          <w:i w:val="1"/>
          <w:iCs w:val="1"/>
          <w:color w:val="333333"/>
          <w:rtl w:val="0"/>
        </w:rPr>
        <w:t xml:space="preserve">"⚠️ SolaX Load Surge Warning: Domestic demand has breached the active battery cap. Current House Draw: [X] kW. Active Battery Cap: [Y] kW. Grid Import: [Z] kW. Alert cooling down for 30 minutes."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rFonts w:ascii="Arial" w:cs="Arial" w:eastAsia="Arial" w:hAnsi="Arial"/>
          <w:i w:val="1"/>
          <w:iCs w:val="1"/>
          <w:color w:val="333333"/>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Simulate a sustained 45-minute heavy cooking session where domestic load continuously breaks past the active battery cap. Expected Outcome: The notification module must transmit exactly one WhatsApp alert at the initial breach second and suppress all further messages for the remaining duration of the cooking session.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Branch name: feature/notifications.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lineRule="auto"/>
        <w:rPr>
          <w:rFonts w:ascii="Arial" w:cs="Arial" w:eastAsia="Arial" w:hAnsi="Arial"/>
          <w:color w:val="333333"/>
        </w:rPr>
      </w:pPr>
      <w:r w:rsidDel="00000000" w:rsidR="00000000" w:rsidRPr="00000000">
        <w:rPr>
          <w:rtl w:val="0"/>
        </w:rPr>
      </w:r>
    </w:p>
    <w:p w:rsidR="00000000" w:rsidDel="00000000" w:rsidP="00000000" w:rsidRDefault="00000000" w:rsidRPr="00000000" w14:paraId="00000067">
      <w:pPr>
        <w:pStyle w:val="Heading3"/>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b6cb0"/>
        </w:rPr>
      </w:pPr>
      <w:r w:rsidDel="00000000" w:rsidR="00000000" w:rsidRPr="00000000">
        <w:rPr>
          <w:rFonts w:ascii="Arial" w:cs="Arial" w:eastAsia="Arial" w:hAnsi="Arial"/>
          <w:color w:val="2b6cb0"/>
          <w:rtl w:val="0"/>
        </w:rPr>
        <w:t xml:space="preserve">Module 9: Hardened Linux Environment, Systemd, and Hardware Watchdogs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Why This Matters &amp; Real-World Context:</w:t>
      </w:r>
      <w:r w:rsidDel="00000000" w:rsidR="00000000" w:rsidRPr="00000000">
        <w:rPr>
          <w:rFonts w:ascii="Arial" w:cs="Arial" w:eastAsia="Arial" w:hAnsi="Arial"/>
          <w:color w:val="333333"/>
          <w:rtl w:val="0"/>
        </w:rPr>
        <w:t xml:space="preserve"> Storing private api tokens and infrastructure passwords directly inside code repositories risks accidental open-source leaks. Furthermore, Modbus TCP operates as a completely unauthenticated, plain-text network protocol; anyone on the local network subnet can execute register rewrites. The environment must implement strict file permission masking and leverage a robust Linux background service wrapper backed by a hardware daemon watchdog. Crucially, the engineer must determine and enable the native inverter-side Modbus watchdog timeout (if supported by firmware) to ensure the hardware safely falls back to independent native control if the Raspberry Pi experiences physical hardware failure or power loss.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Prompt 9:</w:t>
      </w:r>
      <w:r w:rsidDel="00000000" w:rsidR="00000000" w:rsidRPr="00000000">
        <w:rPr>
          <w:rFonts w:ascii="Arial" w:cs="Arial" w:eastAsia="Arial" w:hAnsi="Arial"/>
          <w:color w:val="333333"/>
          <w:rtl w:val="0"/>
        </w:rPr>
        <w:t xml:space="preserve"> Create a shell installation script setup.sh and a deployment configuration file. The script must ingest all API tokens, registration numbers, and passwords into an external .env file. Enforce strict Linux file permissions via chmod 600 .env so that only the background execution user can read the secrets. Generate an explicit .gitignore file to permanently block the environmental variables from being synced to GitHub. Write a formal systemd service unit configuration file (solax_daemon.service) to run the software 24/7 on startup.</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color w:val="333333"/>
          <w:rtl w:val="0"/>
        </w:rPr>
        <w:t xml:space="preserve">Configure timezone-aware UTC/Europe-London datetimes throughout the python application to handle daylight savings transitions flawlessly. Incorporate an active software systemd watchdog handshake: the python application must broadcast a heartbeat pulse every 30 seconds, and the service unit must enforce WatchdogSec=60 and Restart=always to handle automatic recovery. Additionally, the setup script must include instructions to enable and configure the inverter firmware's native Modbus watchdog timeout register (if available), mapping it to default to SELF_USE if no valid controller packets are detected for 60 seconds.</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Testing &amp; Validation:</w:t>
      </w:r>
      <w:r w:rsidDel="00000000" w:rsidR="00000000" w:rsidRPr="00000000">
        <w:rPr>
          <w:rFonts w:ascii="Arial" w:cs="Arial" w:eastAsia="Arial" w:hAnsi="Arial"/>
          <w:color w:val="333333"/>
          <w:rtl w:val="0"/>
        </w:rPr>
        <w:t xml:space="preserve"> Deploy the service on a sandbox Raspberry Pi, check the file mask, and execute a </w:t>
      </w:r>
      <w:r w:rsidDel="00000000" w:rsidR="00000000" w:rsidRPr="00000000">
        <w:rPr>
          <w:rFonts w:ascii="Arial" w:cs="Arial" w:eastAsia="Arial" w:hAnsi="Arial"/>
          <w:b w:val="1"/>
          <w:bCs w:val="1"/>
          <w:color w:val="333333"/>
          <w:rtl w:val="0"/>
        </w:rPr>
        <w:t xml:space="preserve">Deliberate Failure Path Test</w:t>
      </w:r>
      <w:r w:rsidDel="00000000" w:rsidR="00000000" w:rsidRPr="00000000">
        <w:rPr>
          <w:rFonts w:ascii="Arial" w:cs="Arial" w:eastAsia="Arial" w:hAnsi="Arial"/>
          <w:color w:val="333333"/>
          <w:rtl w:val="0"/>
        </w:rPr>
        <w:t xml:space="preserve">: physically disconnect the Raspberry Pi's network cable from the local switch mid-transition. Expected Outcome: The isolated inverter units must identify the loss of controller heartbeat within their configured timeout window, reject any partially staged commands, and gracefully revert to safe native SELF_USE defaults independently without manual intervention.</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333333"/>
        </w:rPr>
      </w:pPr>
      <w:r w:rsidDel="00000000" w:rsidR="00000000" w:rsidRPr="00000000">
        <w:rPr>
          <w:rFonts w:ascii="Arial" w:cs="Arial" w:eastAsia="Arial" w:hAnsi="Arial"/>
          <w:b w:val="1"/>
          <w:bCs w:val="1"/>
          <w:color w:val="333333"/>
          <w:rtl w:val="0"/>
        </w:rPr>
        <w:t xml:space="preserve">Git Management:</w:t>
      </w:r>
      <w:r w:rsidDel="00000000" w:rsidR="00000000" w:rsidRPr="00000000">
        <w:rPr>
          <w:rFonts w:ascii="Arial" w:cs="Arial" w:eastAsia="Arial" w:hAnsi="Arial"/>
          <w:color w:val="333333"/>
          <w:rtl w:val="0"/>
        </w:rPr>
        <w:t xml:space="preserve"> Branch name: feature/systemd-setup. **Final SPRINT Milestone:** Execute an all-inclusive integration regression suite on the develop branch. Upon achieving a 100% test success rate, compile documentation and execute a final, clean merge into the production main branch.</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