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r w:rsidR="00286864" w14:paraId="0FE6F5F4" w14:textId="77777777">
        <w:tc>
          <w:tcPr>
            <w:tcW w:w="6600" w:type="dxa"/>
            <w:shd w:val="clear" w:color="auto" w:fill="F4F7F7"/>
            <w:tcMar>
              <w:top w:w="70" w:type="dxa"/>
              <w:left w:w="120" w:type="dxa"/>
              <w:bottom w:w="70" w:type="dxa"/>
              <w:right w:w="120" w:type="dxa"/>
            </w:tcMar>
            <w:vAlign w:val="center"/>
          </w:tcPr>
          <w:p w14:paraId="14A95B31" w14:textId="77777777" w:rsidR="00286864" w:rsidRDefault="00000000">
            <w:r>
              <w:rPr>
                <w:sz w:val="20"/>
                <w:szCs w:val="20"/>
              </w:rPr>
              <w:t>Service points (committee work) — for the Head of Department and other administrative staff</w:t>
            </w:r>
          </w:p>
        </w:tc>
        <w:tc>
          <w:tcPr>
            <w:tcW w:w="2750" w:type="dxa"/>
            <w:shd w:val="clear" w:color="auto" w:fill="F4F7F7"/>
            <w:tcMar>
              <w:top w:w="70" w:type="dxa"/>
              <w:left w:w="120" w:type="dxa"/>
              <w:bottom w:w="70" w:type="dxa"/>
              <w:right w:w="120" w:type="dxa"/>
            </w:tcMar>
            <w:vAlign w:val="center"/>
          </w:tcPr>
          <w:p w14:paraId="401C11E3" w14:textId="77777777" w:rsidR="00286864" w:rsidRDefault="00000000">
            <w:r>
              <w:rPr>
                <w:sz w:val="20"/>
                <w:szCs w:val="20"/>
              </w:rPr>
              <w:t>175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service points,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