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2A7645DE" w14:textId="77777777" w:rsidR="00286864" w:rsidRDefault="00000000">
      <w:pPr>
        <w:spacing w:before="140" w:after="160"/>
      </w:pPr>
      <w:r>
        <w:t>There is no baseline or minimum teaching allowance. Teaching hours come solely from module involvement and supervision, so a member of staff not associated with any module has 0 teaching hours - including the HoD and other staff in substantial administrative roles. They still receive the engagement and personal development baselines above.</w:t>
      </w:r>
    </w:p>
    <w:p w14:paraId="16632048" w14:textId="77777777" w:rsidR="00286864" w:rsidRDefault="00000000">
      <w:pPr>
        <w:spacing w:after="160" w:line="276" w:lineRule="auto"/>
      </w:pPr>
      <w:r>
        <w:t>For part-time staff, nominal hours and all of the baselines above (engagement, personal development,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 Lecture contact is assumed to be 2 hours per week over 11 teaching weeks (22 hours) for every module, regardless of its credit weighting; a module carrying more credits is not assumed to have proportionally more lecture contact, since the additional credits generally reflect project or independent-study time rather than extra lectures.</w:t>
      </w:r>
      <w:r>
        <w:t xml:space="preserve"> Block-taught modules are the exception: the SCSE masters modules are delivered in blocks rather than weekly and carry about three days (22 hours) of contact per 10 credits, all of it treated as lectures and split between the module team, so a 20-credit SCSE module carries 44 hours.</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1/3 (20 min)</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p w14:paraId="1C2ED60F" w14:textId="77777777" w:rsidR="00286864" w:rsidRDefault="00000000">
      <w:pPr>
        <w:spacing w:before="140"/>
      </w:pPr>
      <w:r>
        <w:t>Module leadership — the module leader receives one further working day (7.3 hours) per module led, in addition to their share of the teaching team’s work. It is costed here as a task rate rather than as an administrative role, and is shown against the module alongside delivery, practicals and assessment.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rate regardless of whether marking is actually automated (script marking now splits UG and MSc cohorts correctly, including shared modules recorded with separate H/M codes; assessment setting has no separate MSc rate in this model);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cap is equivalent to four full-time-equivalent (FTE) PhD students. This may be made up of any combination of primary supervision and co-supervision. In the case of co-supervisions, the proportion of the supervision and the total supervision time needed is assumed to be a 50-50 share with a total equivalent to a 1.2 FTE PhD students, as described in Table 8, however these assumptions can be changed with the discretion of HoD. Supervision beyond the four-FTE equivalent is also at the discretion of the HoD.</w:t>
      </w:r>
      <w:proofErr w:type="spellStart"/>
      <w:r/>
      <w:proofErr w:type="spellEnd"/>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Committee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PGR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5%</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