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BCCE" w14:textId="7E520A6D" w:rsidR="00FC51F1" w:rsidRDefault="00F4272C">
      <w:r>
        <w:t>ITT Q13 (750 words total)</w:t>
      </w:r>
    </w:p>
    <w:p w14:paraId="2A6CD858" w14:textId="77777777" w:rsidR="00F4272C" w:rsidRDefault="00F4272C" w:rsidP="00F4272C">
      <w:r>
        <w:t>Please provide a full supply chain map, for each element of the contract</w:t>
      </w:r>
    </w:p>
    <w:p w14:paraId="2CB466E9" w14:textId="77777777" w:rsidR="00F4272C" w:rsidRDefault="00F4272C" w:rsidP="00F4272C"/>
    <w:p w14:paraId="1FDCC24D" w14:textId="77777777" w:rsidR="00F4272C" w:rsidRDefault="00F4272C" w:rsidP="00F4272C">
      <w:r>
        <w:t>Please provide your business continuity plans and procedures, highlighting the degree of protection it offers for the business and operations of the Supplier and tier 2 Suppliers.</w:t>
      </w:r>
    </w:p>
    <w:p w14:paraId="7316CCA6" w14:textId="77777777" w:rsidR="00F4272C" w:rsidRDefault="00F4272C" w:rsidP="00F4272C"/>
    <w:p w14:paraId="4CB603D9" w14:textId="77777777" w:rsidR="00F4272C" w:rsidRDefault="00F4272C" w:rsidP="00F4272C">
      <w:r>
        <w:t>This should include plans for network provision, hardware and installation services, highlighting key potential risks and how they will be managed</w:t>
      </w:r>
    </w:p>
    <w:p w14:paraId="7DBE8C4C" w14:textId="77777777" w:rsidR="00F4272C" w:rsidRDefault="00F4272C" w:rsidP="00F4272C"/>
    <w:p w14:paraId="42DD4639" w14:textId="1219321A" w:rsidR="00F4272C" w:rsidRDefault="00F4272C" w:rsidP="00F4272C">
      <w:pPr>
        <w:pBdr>
          <w:bottom w:val="single" w:sz="6" w:space="1" w:color="auto"/>
        </w:pBdr>
      </w:pPr>
      <w:r>
        <w:t>Please note, this will for part of the contract, within Schedule 11</w:t>
      </w:r>
    </w:p>
    <w:p w14:paraId="05994116" w14:textId="5E7BADA1" w:rsidR="00F4272C" w:rsidRDefault="00F4272C" w:rsidP="00F4272C">
      <w:pPr>
        <w:rPr>
          <w:u w:val="single"/>
        </w:rPr>
      </w:pPr>
      <w:r w:rsidRPr="00F4272C">
        <w:rPr>
          <w:u w:val="single"/>
        </w:rPr>
        <w:t>Installation Overview</w:t>
      </w:r>
    </w:p>
    <w:p w14:paraId="0846AEDC" w14:textId="4D8ABAC1" w:rsidR="00F4272C" w:rsidRDefault="00F4272C" w:rsidP="00F4272C">
      <w:r w:rsidRPr="00F4272C">
        <w:t xml:space="preserve">The </w:t>
      </w:r>
      <w:r>
        <w:t xml:space="preserve">installation element of the work involves MWS who currently operate across the YW area. It comprises an overall establishment of </w:t>
      </w:r>
      <w:r w:rsidR="0060490B">
        <w:t xml:space="preserve">circa 450 </w:t>
      </w:r>
      <w:r>
        <w:t xml:space="preserve">FTE via </w:t>
      </w:r>
      <w:r w:rsidR="0060490B">
        <w:t xml:space="preserve">directly employed staff and </w:t>
      </w:r>
      <w:r w:rsidR="00CA0970">
        <w:t>an</w:t>
      </w:r>
      <w:r>
        <w:t xml:space="preserve"> extensive network of subcontract services.</w:t>
      </w:r>
    </w:p>
    <w:p w14:paraId="4D2BC5E2" w14:textId="59498E01" w:rsidR="00F4272C" w:rsidRDefault="00F4272C" w:rsidP="00F4272C">
      <w:r>
        <w:t>This new framework is circa</w:t>
      </w:r>
      <w:r w:rsidR="00CA0970">
        <w:t xml:space="preserve"> 50%</w:t>
      </w:r>
      <w:r>
        <w:t xml:space="preserve"> of the existing arrangement and whilst it will operate standalone, has already identified synergies and opportunities to provide shared services between both arrangements.</w:t>
      </w:r>
    </w:p>
    <w:p w14:paraId="1A145992" w14:textId="72BEFF2F" w:rsidR="008D564E" w:rsidRPr="008D564E" w:rsidRDefault="008D564E" w:rsidP="00F4272C">
      <w:pPr>
        <w:rPr>
          <w:u w:val="single"/>
        </w:rPr>
      </w:pPr>
      <w:r w:rsidRPr="008D564E">
        <w:rPr>
          <w:u w:val="single"/>
        </w:rPr>
        <w:t>Supply Chain</w:t>
      </w:r>
    </w:p>
    <w:p w14:paraId="600D9849" w14:textId="13D4D49C" w:rsidR="00F4272C" w:rsidRDefault="008D564E" w:rsidP="00F4272C">
      <w:r>
        <w:t>T</w:t>
      </w:r>
      <w:r w:rsidR="00F4272C">
        <w:t>he key suppliers to MWS will be:</w:t>
      </w:r>
    </w:p>
    <w:p w14:paraId="2A68C7C8" w14:textId="3285340A" w:rsidR="00F4272C" w:rsidRDefault="00F4272C" w:rsidP="00F4272C">
      <w:pPr>
        <w:pStyle w:val="ListParagraph"/>
        <w:numPr>
          <w:ilvl w:val="0"/>
          <w:numId w:val="1"/>
        </w:numPr>
      </w:pPr>
      <w:r>
        <w:t>PHBS and Aquaforce to provide Plumbing / internal meter installation services. Both organisations have been involved in early engagement discussions around the upscaling requirements and will be supported by the wider MWS team in achieving what’s required</w:t>
      </w:r>
      <w:r w:rsidR="008D564E">
        <w:t>.</w:t>
      </w:r>
    </w:p>
    <w:p w14:paraId="5D238C89" w14:textId="222D4375" w:rsidR="008D564E" w:rsidRDefault="008D564E" w:rsidP="00F4272C">
      <w:pPr>
        <w:pStyle w:val="ListParagraph"/>
        <w:numPr>
          <w:ilvl w:val="0"/>
          <w:numId w:val="1"/>
        </w:numPr>
      </w:pPr>
      <w:r>
        <w:t xml:space="preserve">MWS – </w:t>
      </w:r>
      <w:r w:rsidR="00E25BA9">
        <w:t>Central Team</w:t>
      </w:r>
      <w:r>
        <w:t>. Whilst not strictly ‘supply chain’ as they are MWS, there is currently an established, experienced call &amp; customer management centre supporting the delivery of circa</w:t>
      </w:r>
      <w:r w:rsidR="00D7335C">
        <w:t xml:space="preserve"> 12000 </w:t>
      </w:r>
      <w:r>
        <w:t>meter exchanges</w:t>
      </w:r>
      <w:r w:rsidR="00D7335C">
        <w:t>/installs per month</w:t>
      </w:r>
      <w:r>
        <w:t xml:space="preserve"> across the Thames water operating area. This will be expanded, potentially with resource split between the existing location and local</w:t>
      </w:r>
      <w:r w:rsidR="00E7641F">
        <w:t>, Yorkshire</w:t>
      </w:r>
      <w:r>
        <w:t xml:space="preserve"> based staff.</w:t>
      </w:r>
    </w:p>
    <w:p w14:paraId="5CF84CEB" w14:textId="323FCCA6" w:rsidR="008D564E" w:rsidRDefault="008D564E" w:rsidP="00F4272C">
      <w:pPr>
        <w:pStyle w:val="ListParagraph"/>
        <w:numPr>
          <w:ilvl w:val="0"/>
          <w:numId w:val="1"/>
        </w:numPr>
      </w:pPr>
      <w:r>
        <w:t>Logistics support. Whilst to be finalised, discussions are on-going with 2 well established logistics support organisations to manage both the strategic stock and ‘in day’ installation requirements.</w:t>
      </w:r>
    </w:p>
    <w:p w14:paraId="50D4551B" w14:textId="44F58F2C" w:rsidR="008D564E" w:rsidRDefault="008D564E" w:rsidP="00F4272C">
      <w:pPr>
        <w:pStyle w:val="ListParagraph"/>
        <w:numPr>
          <w:ilvl w:val="0"/>
          <w:numId w:val="1"/>
        </w:numPr>
      </w:pPr>
      <w:r>
        <w:t>Excavation services will be provided via the framework arrangements in place with an extensive subcontract network across the Yorkshire region.</w:t>
      </w:r>
    </w:p>
    <w:p w14:paraId="0D7A34DD" w14:textId="418F7EC9" w:rsidR="00E25BA9" w:rsidRDefault="00E25BA9" w:rsidP="00E25BA9">
      <w:r>
        <w:rPr>
          <w:noProof/>
        </w:rPr>
        <w:lastRenderedPageBreak/>
        <w:drawing>
          <wp:inline distT="0" distB="0" distL="0" distR="0" wp14:anchorId="38FFB651" wp14:editId="5C3F7B6B">
            <wp:extent cx="5486400" cy="3200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A99EDDE" w14:textId="77777777" w:rsidR="00FD053C" w:rsidRDefault="008D564E" w:rsidP="00FD053C">
      <w:pPr>
        <w:shd w:val="clear" w:color="auto" w:fill="FFFFFF"/>
        <w:rPr>
          <w:u w:val="single"/>
        </w:rPr>
      </w:pPr>
      <w:r w:rsidRPr="008D564E">
        <w:rPr>
          <w:u w:val="single"/>
        </w:rPr>
        <w:t>Business Continuity Plans</w:t>
      </w:r>
    </w:p>
    <w:p w14:paraId="5B1C3405" w14:textId="68799019" w:rsidR="00FD053C" w:rsidRPr="00FD053C" w:rsidRDefault="00FD053C" w:rsidP="00FD053C">
      <w:pPr>
        <w:shd w:val="clear" w:color="auto" w:fill="FFFFFF"/>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M Group Services implement and continually maintain a Business Continuity Management Programme which results in an effective and planned best response to major incidents and any other requirements.</w:t>
      </w:r>
    </w:p>
    <w:p w14:paraId="6404891E"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The purpose of the Business Continuity Management Programme will be ensuring that M Group Services continues to meet the expectations and requirements of its clients and partners.</w:t>
      </w:r>
    </w:p>
    <w:p w14:paraId="1D0D33EB"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1E8D870E"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Every site at MWS has undertaken an Business Impact Assessment on all critical activities which would be affected by any unplanned event including loss of access, Technology, People or Materials.</w:t>
      </w:r>
    </w:p>
    <w:p w14:paraId="3682DEE8"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55AE344F"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All listed sites then have Business Continuity Plans (BCPs) and, if applicable, Activity Recovery Plans (ARPs) for critical activities, which are then referenced in the Group BCMS. Each BCP states the essential functions of the business and site to ensure operational delivery and services are maintained.</w:t>
      </w:r>
    </w:p>
    <w:p w14:paraId="1719A639"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4E0AA549"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Roles and responsibilities are assigned on a site basis within respective BCPs. In many cases, multiple people may fulfil multiple roles. All roles receive appropriate training on Business Continuity and how their roles affect</w:t>
      </w:r>
    </w:p>
    <w:p w14:paraId="0973AD6D"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the Continuity Plans.</w:t>
      </w:r>
    </w:p>
    <w:p w14:paraId="35D0E226"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2980A472" w14:textId="77777777" w:rsid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Our Group Incident Response Structure is as follows:</w:t>
      </w:r>
    </w:p>
    <w:p w14:paraId="21EE4D44" w14:textId="77777777" w:rsidR="00025121" w:rsidRDefault="00025121" w:rsidP="00FD053C">
      <w:pPr>
        <w:shd w:val="clear" w:color="auto" w:fill="FFFFFF"/>
        <w:spacing w:after="0" w:line="240" w:lineRule="auto"/>
        <w:rPr>
          <w:rFonts w:eastAsia="Times New Roman" w:cs="Arial"/>
          <w:color w:val="222222"/>
          <w:kern w:val="0"/>
          <w:lang w:eastAsia="en-GB"/>
          <w14:ligatures w14:val="none"/>
        </w:rPr>
      </w:pPr>
    </w:p>
    <w:p w14:paraId="08E0A741" w14:textId="5E60BBC5" w:rsidR="00025121" w:rsidRDefault="00025121" w:rsidP="00025121">
      <w:pPr>
        <w:pStyle w:val="NormalWeb"/>
      </w:pPr>
      <w:r>
        <w:rPr>
          <w:noProof/>
        </w:rPr>
        <w:lastRenderedPageBreak/>
        <w:drawing>
          <wp:inline distT="0" distB="0" distL="0" distR="0" wp14:anchorId="214255C2" wp14:editId="2382721E">
            <wp:extent cx="5731510" cy="1765935"/>
            <wp:effectExtent l="0" t="0" r="2540" b="5715"/>
            <wp:docPr id="709901032" name="Picture 2"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01032" name="Picture 2" descr="A diagram of a business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5935"/>
                    </a:xfrm>
                    <a:prstGeom prst="rect">
                      <a:avLst/>
                    </a:prstGeom>
                    <a:noFill/>
                    <a:ln>
                      <a:noFill/>
                    </a:ln>
                  </pic:spPr>
                </pic:pic>
              </a:graphicData>
            </a:graphic>
          </wp:inline>
        </w:drawing>
      </w:r>
    </w:p>
    <w:p w14:paraId="625A6F67" w14:textId="77777777" w:rsidR="00025121" w:rsidRPr="00FD053C" w:rsidRDefault="00025121" w:rsidP="00FD053C">
      <w:pPr>
        <w:shd w:val="clear" w:color="auto" w:fill="FFFFFF"/>
        <w:spacing w:after="0" w:line="240" w:lineRule="auto"/>
        <w:rPr>
          <w:rFonts w:eastAsia="Times New Roman" w:cs="Arial"/>
          <w:color w:val="222222"/>
          <w:kern w:val="0"/>
          <w:lang w:eastAsia="en-GB"/>
          <w14:ligatures w14:val="none"/>
        </w:rPr>
      </w:pPr>
    </w:p>
    <w:p w14:paraId="47317EAF"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50D5CE2C" w14:textId="77777777"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color w:val="222222"/>
          <w:kern w:val="0"/>
          <w:lang w:eastAsia="en-GB"/>
          <w14:ligatures w14:val="none"/>
        </w:rPr>
        <w:t> </w:t>
      </w:r>
    </w:p>
    <w:p w14:paraId="35535C94" w14:textId="120F1A88" w:rsidR="00FD053C" w:rsidRPr="00FD053C" w:rsidRDefault="00FD053C" w:rsidP="00FD053C">
      <w:pPr>
        <w:shd w:val="clear" w:color="auto" w:fill="FFFFFF"/>
        <w:spacing w:after="0" w:line="240" w:lineRule="auto"/>
        <w:rPr>
          <w:rFonts w:eastAsia="Times New Roman" w:cs="Arial"/>
          <w:color w:val="222222"/>
          <w:kern w:val="0"/>
          <w:lang w:eastAsia="en-GB"/>
          <w14:ligatures w14:val="none"/>
        </w:rPr>
      </w:pPr>
      <w:r w:rsidRPr="00FD053C">
        <w:rPr>
          <w:rFonts w:eastAsia="Times New Roman" w:cs="Arial"/>
          <w:noProof/>
          <w:color w:val="222222"/>
          <w:kern w:val="0"/>
          <w:lang w:eastAsia="en-GB"/>
          <w14:ligatures w14:val="none"/>
        </w:rPr>
        <mc:AlternateContent>
          <mc:Choice Requires="wps">
            <w:drawing>
              <wp:inline distT="0" distB="0" distL="0" distR="0" wp14:anchorId="38E5989B" wp14:editId="1FB23104">
                <wp:extent cx="6197600" cy="1917700"/>
                <wp:effectExtent l="0" t="0" r="0" b="0"/>
                <wp:docPr id="2419077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7600" cy="191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BC82C" id="Rectangle 1" o:spid="_x0000_s1026" style="width:488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" filled="f" stroked="f">
                <o:lock v:ext="edit" aspectratio="t"/>
                <w10:anchorlock/>
              </v:rect>
            </w:pict>
          </mc:Fallback>
        </mc:AlternateContent>
      </w:r>
    </w:p>
    <w:p w14:paraId="770925CD" w14:textId="5A137780" w:rsidR="008D564E" w:rsidRPr="00FD053C" w:rsidRDefault="008D564E" w:rsidP="008D564E">
      <w:pPr>
        <w:rPr>
          <w:u w:val="single"/>
        </w:rPr>
      </w:pPr>
    </w:p>
    <w:sectPr w:rsidR="008D564E" w:rsidRPr="00FD0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8A"/>
    <w:multiLevelType w:val="hybridMultilevel"/>
    <w:tmpl w:val="F5FA2EB0"/>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16cid:durableId="189742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2C"/>
    <w:rsid w:val="00025121"/>
    <w:rsid w:val="001B1084"/>
    <w:rsid w:val="0060490B"/>
    <w:rsid w:val="00821E40"/>
    <w:rsid w:val="008D564E"/>
    <w:rsid w:val="00A83707"/>
    <w:rsid w:val="00B06A9F"/>
    <w:rsid w:val="00C04274"/>
    <w:rsid w:val="00CA0970"/>
    <w:rsid w:val="00D676B9"/>
    <w:rsid w:val="00D7335C"/>
    <w:rsid w:val="00E25BA9"/>
    <w:rsid w:val="00E7641F"/>
    <w:rsid w:val="00ED2F80"/>
    <w:rsid w:val="00F4272C"/>
    <w:rsid w:val="00FC51F1"/>
    <w:rsid w:val="00FD0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A3D"/>
  <w15:chartTrackingRefBased/>
  <w15:docId w15:val="{44B52B4A-DAE6-4301-A56A-20786205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2C"/>
    <w:rPr>
      <w:rFonts w:eastAsiaTheme="majorEastAsia" w:cstheme="majorBidi"/>
      <w:color w:val="272727" w:themeColor="text1" w:themeTint="D8"/>
    </w:rPr>
  </w:style>
  <w:style w:type="paragraph" w:styleId="Title">
    <w:name w:val="Title"/>
    <w:basedOn w:val="Normal"/>
    <w:next w:val="Normal"/>
    <w:link w:val="TitleChar"/>
    <w:uiPriority w:val="10"/>
    <w:qFormat/>
    <w:rsid w:val="00F4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2C"/>
    <w:pPr>
      <w:spacing w:before="160"/>
      <w:jc w:val="center"/>
    </w:pPr>
    <w:rPr>
      <w:i/>
      <w:iCs/>
      <w:color w:val="404040" w:themeColor="text1" w:themeTint="BF"/>
    </w:rPr>
  </w:style>
  <w:style w:type="character" w:customStyle="1" w:styleId="QuoteChar">
    <w:name w:val="Quote Char"/>
    <w:basedOn w:val="DefaultParagraphFont"/>
    <w:link w:val="Quote"/>
    <w:uiPriority w:val="29"/>
    <w:rsid w:val="00F4272C"/>
    <w:rPr>
      <w:i/>
      <w:iCs/>
      <w:color w:val="404040" w:themeColor="text1" w:themeTint="BF"/>
    </w:rPr>
  </w:style>
  <w:style w:type="paragraph" w:styleId="ListParagraph">
    <w:name w:val="List Paragraph"/>
    <w:basedOn w:val="Normal"/>
    <w:uiPriority w:val="34"/>
    <w:qFormat/>
    <w:rsid w:val="00F4272C"/>
    <w:pPr>
      <w:ind w:left="720"/>
      <w:contextualSpacing/>
    </w:pPr>
  </w:style>
  <w:style w:type="character" w:styleId="IntenseEmphasis">
    <w:name w:val="Intense Emphasis"/>
    <w:basedOn w:val="DefaultParagraphFont"/>
    <w:uiPriority w:val="21"/>
    <w:qFormat/>
    <w:rsid w:val="00F4272C"/>
    <w:rPr>
      <w:i/>
      <w:iCs/>
      <w:color w:val="0F4761" w:themeColor="accent1" w:themeShade="BF"/>
    </w:rPr>
  </w:style>
  <w:style w:type="paragraph" w:styleId="IntenseQuote">
    <w:name w:val="Intense Quote"/>
    <w:basedOn w:val="Normal"/>
    <w:next w:val="Normal"/>
    <w:link w:val="IntenseQuoteChar"/>
    <w:uiPriority w:val="30"/>
    <w:qFormat/>
    <w:rsid w:val="00F42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2C"/>
    <w:rPr>
      <w:i/>
      <w:iCs/>
      <w:color w:val="0F4761" w:themeColor="accent1" w:themeShade="BF"/>
    </w:rPr>
  </w:style>
  <w:style w:type="character" w:styleId="IntenseReference">
    <w:name w:val="Intense Reference"/>
    <w:basedOn w:val="DefaultParagraphFont"/>
    <w:uiPriority w:val="32"/>
    <w:qFormat/>
    <w:rsid w:val="00F4272C"/>
    <w:rPr>
      <w:b/>
      <w:bCs/>
      <w:smallCaps/>
      <w:color w:val="0F4761" w:themeColor="accent1" w:themeShade="BF"/>
      <w:spacing w:val="5"/>
    </w:rPr>
  </w:style>
  <w:style w:type="paragraph" w:styleId="NormalWeb">
    <w:name w:val="Normal (Web)"/>
    <w:basedOn w:val="Normal"/>
    <w:uiPriority w:val="99"/>
    <w:semiHidden/>
    <w:unhideWhenUsed/>
    <w:rsid w:val="000251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4515">
      <w:bodyDiv w:val="1"/>
      <w:marLeft w:val="0"/>
      <w:marRight w:val="0"/>
      <w:marTop w:val="0"/>
      <w:marBottom w:val="0"/>
      <w:divBdr>
        <w:top w:val="none" w:sz="0" w:space="0" w:color="auto"/>
        <w:left w:val="none" w:sz="0" w:space="0" w:color="auto"/>
        <w:bottom w:val="none" w:sz="0" w:space="0" w:color="auto"/>
        <w:right w:val="none" w:sz="0" w:space="0" w:color="auto"/>
      </w:divBdr>
    </w:div>
    <w:div w:id="10037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customXml" Target="../customXml/item3.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04341-5705-48F7-8D64-4650F32EC5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C640517-ED2C-4E47-A477-B26138D7D166}">
      <dgm:prSet phldrT="[Text]"/>
      <dgm:spPr/>
      <dgm:t>
        <a:bodyPr/>
        <a:lstStyle/>
        <a:p>
          <a:r>
            <a:rPr lang="en-GB"/>
            <a:t>MWS Installer</a:t>
          </a:r>
        </a:p>
      </dgm:t>
    </dgm:pt>
    <dgm:pt modelId="{4EA63A1B-2B31-4236-B003-9A48CC10EBC2}" type="parTrans" cxnId="{29859AC5-8EB9-4E8F-9D9F-800B7EC27B2E}">
      <dgm:prSet/>
      <dgm:spPr/>
      <dgm:t>
        <a:bodyPr/>
        <a:lstStyle/>
        <a:p>
          <a:endParaRPr lang="en-GB"/>
        </a:p>
      </dgm:t>
    </dgm:pt>
    <dgm:pt modelId="{9B4B347E-9D02-4B05-8A27-E6F4A1CB0FA0}" type="sibTrans" cxnId="{29859AC5-8EB9-4E8F-9D9F-800B7EC27B2E}">
      <dgm:prSet/>
      <dgm:spPr/>
      <dgm:t>
        <a:bodyPr/>
        <a:lstStyle/>
        <a:p>
          <a:endParaRPr lang="en-GB"/>
        </a:p>
      </dgm:t>
    </dgm:pt>
    <dgm:pt modelId="{0CAF11EB-7AFB-4486-BAA0-32AC198F10AD}">
      <dgm:prSet phldrT="[Text]"/>
      <dgm:spPr/>
      <dgm:t>
        <a:bodyPr/>
        <a:lstStyle/>
        <a:p>
          <a:r>
            <a:rPr lang="en-GB"/>
            <a:t>Dig Work</a:t>
          </a:r>
        </a:p>
        <a:p>
          <a:r>
            <a:rPr lang="en-GB"/>
            <a:t>MWS DLO and varied supply chain partners (Geographically driven)</a:t>
          </a:r>
        </a:p>
      </dgm:t>
    </dgm:pt>
    <dgm:pt modelId="{3E96F5B8-48F3-4989-8C37-28897F8BC502}" type="parTrans" cxnId="{5AA6506C-B76F-4DC0-8BAB-DA5D963604FB}">
      <dgm:prSet/>
      <dgm:spPr/>
      <dgm:t>
        <a:bodyPr/>
        <a:lstStyle/>
        <a:p>
          <a:endParaRPr lang="en-GB"/>
        </a:p>
      </dgm:t>
    </dgm:pt>
    <dgm:pt modelId="{E2FBDA0A-59FA-4504-8045-2A142C47BA77}" type="sibTrans" cxnId="{5AA6506C-B76F-4DC0-8BAB-DA5D963604FB}">
      <dgm:prSet/>
      <dgm:spPr/>
      <dgm:t>
        <a:bodyPr/>
        <a:lstStyle/>
        <a:p>
          <a:endParaRPr lang="en-GB"/>
        </a:p>
      </dgm:t>
    </dgm:pt>
    <dgm:pt modelId="{E1ADCAC0-D1CD-4660-8C4D-9C9A517E65CC}">
      <dgm:prSet phldrT="[Text]"/>
      <dgm:spPr/>
      <dgm:t>
        <a:bodyPr/>
        <a:lstStyle/>
        <a:p>
          <a:r>
            <a:rPr lang="en-GB"/>
            <a:t>Internal Plumbing Work</a:t>
          </a:r>
        </a:p>
        <a:p>
          <a:r>
            <a:rPr lang="en-GB"/>
            <a:t>Supply Chain </a:t>
          </a:r>
        </a:p>
        <a:p>
          <a:r>
            <a:rPr lang="en-GB"/>
            <a:t>PBHS and Aquaforce</a:t>
          </a:r>
        </a:p>
      </dgm:t>
    </dgm:pt>
    <dgm:pt modelId="{6CF8FF3A-703C-4527-B752-FB1FBF3024D9}" type="parTrans" cxnId="{BF010673-FCEB-4EF3-998E-5CEB8FAB2F36}">
      <dgm:prSet/>
      <dgm:spPr/>
      <dgm:t>
        <a:bodyPr/>
        <a:lstStyle/>
        <a:p>
          <a:endParaRPr lang="en-GB"/>
        </a:p>
      </dgm:t>
    </dgm:pt>
    <dgm:pt modelId="{234A1D4E-72E7-46AB-864A-4C9F7DC62D47}" type="sibTrans" cxnId="{BF010673-FCEB-4EF3-998E-5CEB8FAB2F36}">
      <dgm:prSet/>
      <dgm:spPr/>
      <dgm:t>
        <a:bodyPr/>
        <a:lstStyle/>
        <a:p>
          <a:endParaRPr lang="en-GB"/>
        </a:p>
      </dgm:t>
    </dgm:pt>
    <dgm:pt modelId="{D0DC732A-EBC7-4EC3-89B8-3C42135FEB5D}">
      <dgm:prSet phldrT="[Text]"/>
      <dgm:spPr/>
      <dgm:t>
        <a:bodyPr/>
        <a:lstStyle/>
        <a:p>
          <a:r>
            <a:rPr lang="en-GB"/>
            <a:t>External Replacement</a:t>
          </a:r>
        </a:p>
        <a:p>
          <a:r>
            <a:rPr lang="en-GB"/>
            <a:t>MWS DLO</a:t>
          </a:r>
        </a:p>
      </dgm:t>
    </dgm:pt>
    <dgm:pt modelId="{B0932856-C9CE-468A-86FB-BC85D8761F77}" type="parTrans" cxnId="{85F1F18B-2C89-4460-B955-FA2BF696AAFD}">
      <dgm:prSet/>
      <dgm:spPr/>
      <dgm:t>
        <a:bodyPr/>
        <a:lstStyle/>
        <a:p>
          <a:endParaRPr lang="en-GB"/>
        </a:p>
      </dgm:t>
    </dgm:pt>
    <dgm:pt modelId="{0754814C-44B2-4BFD-A59C-1163CF44EC7E}" type="sibTrans" cxnId="{85F1F18B-2C89-4460-B955-FA2BF696AAFD}">
      <dgm:prSet/>
      <dgm:spPr/>
      <dgm:t>
        <a:bodyPr/>
        <a:lstStyle/>
        <a:p>
          <a:endParaRPr lang="en-GB"/>
        </a:p>
      </dgm:t>
    </dgm:pt>
    <dgm:pt modelId="{8E0937CF-DBB3-42BF-8F63-75B3D8BCC84A}">
      <dgm:prSet/>
      <dgm:spPr/>
      <dgm:t>
        <a:bodyPr/>
        <a:lstStyle/>
        <a:p>
          <a:r>
            <a:rPr lang="en-GB"/>
            <a:t>Logisitcs Support </a:t>
          </a:r>
        </a:p>
        <a:p>
          <a:r>
            <a:rPr lang="en-GB"/>
            <a:t>(2 potential partners TBC)</a:t>
          </a:r>
        </a:p>
      </dgm:t>
    </dgm:pt>
    <dgm:pt modelId="{CFF628D6-3015-48AC-A5DF-D6FCD4BDDFBD}" type="parTrans" cxnId="{AC09757F-695A-4A0B-8CB4-DD2ED44E4C95}">
      <dgm:prSet/>
      <dgm:spPr/>
    </dgm:pt>
    <dgm:pt modelId="{84DC393F-3102-43FA-B0B7-59755AA46180}" type="sibTrans" cxnId="{AC09757F-695A-4A0B-8CB4-DD2ED44E4C95}">
      <dgm:prSet/>
      <dgm:spPr/>
    </dgm:pt>
    <dgm:pt modelId="{2A441F1F-BA49-43C4-B671-E2CB87EA9ADB}" type="asst">
      <dgm:prSet/>
      <dgm:spPr/>
      <dgm:t>
        <a:bodyPr/>
        <a:lstStyle/>
        <a:p>
          <a:r>
            <a:rPr lang="en-GB"/>
            <a:t>Call Centre</a:t>
          </a:r>
        </a:p>
        <a:p>
          <a:r>
            <a:rPr lang="en-GB"/>
            <a:t>MWS Central Team</a:t>
          </a:r>
        </a:p>
      </dgm:t>
    </dgm:pt>
    <dgm:pt modelId="{2AE762D1-177B-4DEB-94F2-18CDC5620766}" type="parTrans" cxnId="{D0148D6B-CB74-4326-A07A-FF7DC8F31FB5}">
      <dgm:prSet/>
      <dgm:spPr/>
    </dgm:pt>
    <dgm:pt modelId="{1EAA2FE5-4591-4E60-83F8-D20D227799A7}" type="sibTrans" cxnId="{D0148D6B-CB74-4326-A07A-FF7DC8F31FB5}">
      <dgm:prSet/>
      <dgm:spPr/>
    </dgm:pt>
    <dgm:pt modelId="{A0973AC7-63A6-4AC5-ABFB-BDDC1983CF3F}" type="pres">
      <dgm:prSet presAssocID="{3EF04341-5705-48F7-8D64-4650F32EC566}" presName="hierChild1" presStyleCnt="0">
        <dgm:presLayoutVars>
          <dgm:orgChart val="1"/>
          <dgm:chPref val="1"/>
          <dgm:dir/>
          <dgm:animOne val="branch"/>
          <dgm:animLvl val="lvl"/>
          <dgm:resizeHandles/>
        </dgm:presLayoutVars>
      </dgm:prSet>
      <dgm:spPr/>
    </dgm:pt>
    <dgm:pt modelId="{4B327499-D4EA-43D9-8753-EF2F27CE3550}" type="pres">
      <dgm:prSet presAssocID="{3C640517-ED2C-4E47-A477-B26138D7D166}" presName="hierRoot1" presStyleCnt="0">
        <dgm:presLayoutVars>
          <dgm:hierBranch val="init"/>
        </dgm:presLayoutVars>
      </dgm:prSet>
      <dgm:spPr/>
    </dgm:pt>
    <dgm:pt modelId="{FD4938CA-826E-4D0E-9667-FB8FEAB7A405}" type="pres">
      <dgm:prSet presAssocID="{3C640517-ED2C-4E47-A477-B26138D7D166}" presName="rootComposite1" presStyleCnt="0"/>
      <dgm:spPr/>
    </dgm:pt>
    <dgm:pt modelId="{BBD525B2-3BEE-43FA-8A85-F4D0C4BE62A7}" type="pres">
      <dgm:prSet presAssocID="{3C640517-ED2C-4E47-A477-B26138D7D166}" presName="rootText1" presStyleLbl="node0" presStyleIdx="0" presStyleCnt="1">
        <dgm:presLayoutVars>
          <dgm:chPref val="3"/>
        </dgm:presLayoutVars>
      </dgm:prSet>
      <dgm:spPr/>
    </dgm:pt>
    <dgm:pt modelId="{DECF79AB-EB31-4A70-B756-60E52335DBC3}" type="pres">
      <dgm:prSet presAssocID="{3C640517-ED2C-4E47-A477-B26138D7D166}" presName="rootConnector1" presStyleLbl="node1" presStyleIdx="0" presStyleCnt="0"/>
      <dgm:spPr/>
    </dgm:pt>
    <dgm:pt modelId="{4BFF1501-F809-4B6C-AC86-4B53FC785DA2}" type="pres">
      <dgm:prSet presAssocID="{3C640517-ED2C-4E47-A477-B26138D7D166}" presName="hierChild2" presStyleCnt="0"/>
      <dgm:spPr/>
    </dgm:pt>
    <dgm:pt modelId="{D85B6DE4-2CEA-4586-AF64-0208A2416268}" type="pres">
      <dgm:prSet presAssocID="{3E96F5B8-48F3-4989-8C37-28897F8BC502}" presName="Name37" presStyleLbl="parChTrans1D2" presStyleIdx="0" presStyleCnt="5"/>
      <dgm:spPr/>
    </dgm:pt>
    <dgm:pt modelId="{48D1D8A9-1AC6-4A6D-B84B-FDDE1BF9E0EE}" type="pres">
      <dgm:prSet presAssocID="{0CAF11EB-7AFB-4486-BAA0-32AC198F10AD}" presName="hierRoot2" presStyleCnt="0">
        <dgm:presLayoutVars>
          <dgm:hierBranch val="init"/>
        </dgm:presLayoutVars>
      </dgm:prSet>
      <dgm:spPr/>
    </dgm:pt>
    <dgm:pt modelId="{364EB939-7AD4-4725-9F07-CA71CB838435}" type="pres">
      <dgm:prSet presAssocID="{0CAF11EB-7AFB-4486-BAA0-32AC198F10AD}" presName="rootComposite" presStyleCnt="0"/>
      <dgm:spPr/>
    </dgm:pt>
    <dgm:pt modelId="{EF8AC299-3D87-448B-B2CC-BDB1B3D6B50E}" type="pres">
      <dgm:prSet presAssocID="{0CAF11EB-7AFB-4486-BAA0-32AC198F10AD}" presName="rootText" presStyleLbl="node2" presStyleIdx="0" presStyleCnt="4">
        <dgm:presLayoutVars>
          <dgm:chPref val="3"/>
        </dgm:presLayoutVars>
      </dgm:prSet>
      <dgm:spPr/>
    </dgm:pt>
    <dgm:pt modelId="{21AACB74-DCE7-4CF9-B1D5-C411AC6AE2ED}" type="pres">
      <dgm:prSet presAssocID="{0CAF11EB-7AFB-4486-BAA0-32AC198F10AD}" presName="rootConnector" presStyleLbl="node2" presStyleIdx="0" presStyleCnt="4"/>
      <dgm:spPr/>
    </dgm:pt>
    <dgm:pt modelId="{A500726B-6009-4EE1-9C20-3E2A6424A5D4}" type="pres">
      <dgm:prSet presAssocID="{0CAF11EB-7AFB-4486-BAA0-32AC198F10AD}" presName="hierChild4" presStyleCnt="0"/>
      <dgm:spPr/>
    </dgm:pt>
    <dgm:pt modelId="{6815DE78-669A-4E38-8CA1-FBFE8E2FB1E5}" type="pres">
      <dgm:prSet presAssocID="{0CAF11EB-7AFB-4486-BAA0-32AC198F10AD}" presName="hierChild5" presStyleCnt="0"/>
      <dgm:spPr/>
    </dgm:pt>
    <dgm:pt modelId="{1DB0512F-1409-4087-B95C-39DE5F7532C4}" type="pres">
      <dgm:prSet presAssocID="{6CF8FF3A-703C-4527-B752-FB1FBF3024D9}" presName="Name37" presStyleLbl="parChTrans1D2" presStyleIdx="1" presStyleCnt="5"/>
      <dgm:spPr/>
    </dgm:pt>
    <dgm:pt modelId="{97982C28-BF47-47CB-8E63-12C8001AF5D5}" type="pres">
      <dgm:prSet presAssocID="{E1ADCAC0-D1CD-4660-8C4D-9C9A517E65CC}" presName="hierRoot2" presStyleCnt="0">
        <dgm:presLayoutVars>
          <dgm:hierBranch val="init"/>
        </dgm:presLayoutVars>
      </dgm:prSet>
      <dgm:spPr/>
    </dgm:pt>
    <dgm:pt modelId="{438F6D67-973F-46A8-AB7B-0893F73472DF}" type="pres">
      <dgm:prSet presAssocID="{E1ADCAC0-D1CD-4660-8C4D-9C9A517E65CC}" presName="rootComposite" presStyleCnt="0"/>
      <dgm:spPr/>
    </dgm:pt>
    <dgm:pt modelId="{96D876E6-CC2E-4497-B756-AA0742D945FA}" type="pres">
      <dgm:prSet presAssocID="{E1ADCAC0-D1CD-4660-8C4D-9C9A517E65CC}" presName="rootText" presStyleLbl="node2" presStyleIdx="1" presStyleCnt="4">
        <dgm:presLayoutVars>
          <dgm:chPref val="3"/>
        </dgm:presLayoutVars>
      </dgm:prSet>
      <dgm:spPr/>
    </dgm:pt>
    <dgm:pt modelId="{BE9D585E-77D0-42B0-8CD5-D7C8E62E9863}" type="pres">
      <dgm:prSet presAssocID="{E1ADCAC0-D1CD-4660-8C4D-9C9A517E65CC}" presName="rootConnector" presStyleLbl="node2" presStyleIdx="1" presStyleCnt="4"/>
      <dgm:spPr/>
    </dgm:pt>
    <dgm:pt modelId="{B82B4164-5F8E-4E1A-97E9-347EF75667F8}" type="pres">
      <dgm:prSet presAssocID="{E1ADCAC0-D1CD-4660-8C4D-9C9A517E65CC}" presName="hierChild4" presStyleCnt="0"/>
      <dgm:spPr/>
    </dgm:pt>
    <dgm:pt modelId="{40F63C5A-41B0-483F-837F-2AD4770515BA}" type="pres">
      <dgm:prSet presAssocID="{E1ADCAC0-D1CD-4660-8C4D-9C9A517E65CC}" presName="hierChild5" presStyleCnt="0"/>
      <dgm:spPr/>
    </dgm:pt>
    <dgm:pt modelId="{AB311073-31E0-4653-9FE6-EDAD52D3EC3F}" type="pres">
      <dgm:prSet presAssocID="{B0932856-C9CE-468A-86FB-BC85D8761F77}" presName="Name37" presStyleLbl="parChTrans1D2" presStyleIdx="2" presStyleCnt="5"/>
      <dgm:spPr/>
    </dgm:pt>
    <dgm:pt modelId="{32817ABF-C719-4DE6-ACC8-490AF72BAD31}" type="pres">
      <dgm:prSet presAssocID="{D0DC732A-EBC7-4EC3-89B8-3C42135FEB5D}" presName="hierRoot2" presStyleCnt="0">
        <dgm:presLayoutVars>
          <dgm:hierBranch val="init"/>
        </dgm:presLayoutVars>
      </dgm:prSet>
      <dgm:spPr/>
    </dgm:pt>
    <dgm:pt modelId="{66D2BB3E-38C0-427F-8A5A-C90A5ED2B3FC}" type="pres">
      <dgm:prSet presAssocID="{D0DC732A-EBC7-4EC3-89B8-3C42135FEB5D}" presName="rootComposite" presStyleCnt="0"/>
      <dgm:spPr/>
    </dgm:pt>
    <dgm:pt modelId="{1C016315-F414-4406-BDEE-8B1A6ADC40A0}" type="pres">
      <dgm:prSet presAssocID="{D0DC732A-EBC7-4EC3-89B8-3C42135FEB5D}" presName="rootText" presStyleLbl="node2" presStyleIdx="2" presStyleCnt="4">
        <dgm:presLayoutVars>
          <dgm:chPref val="3"/>
        </dgm:presLayoutVars>
      </dgm:prSet>
      <dgm:spPr/>
    </dgm:pt>
    <dgm:pt modelId="{B3FF4162-66B1-4140-BD6B-985B11446D58}" type="pres">
      <dgm:prSet presAssocID="{D0DC732A-EBC7-4EC3-89B8-3C42135FEB5D}" presName="rootConnector" presStyleLbl="node2" presStyleIdx="2" presStyleCnt="4"/>
      <dgm:spPr/>
    </dgm:pt>
    <dgm:pt modelId="{334F5F18-2FAB-47ED-B2C5-5193140884F2}" type="pres">
      <dgm:prSet presAssocID="{D0DC732A-EBC7-4EC3-89B8-3C42135FEB5D}" presName="hierChild4" presStyleCnt="0"/>
      <dgm:spPr/>
    </dgm:pt>
    <dgm:pt modelId="{AFC3993C-D7A2-4E8D-B7A1-17DAE107FD72}" type="pres">
      <dgm:prSet presAssocID="{D0DC732A-EBC7-4EC3-89B8-3C42135FEB5D}" presName="hierChild5" presStyleCnt="0"/>
      <dgm:spPr/>
    </dgm:pt>
    <dgm:pt modelId="{0BF30EF1-5A9A-4DE9-AC49-7D2EF28E7BA0}" type="pres">
      <dgm:prSet presAssocID="{CFF628D6-3015-48AC-A5DF-D6FCD4BDDFBD}" presName="Name37" presStyleLbl="parChTrans1D2" presStyleIdx="3" presStyleCnt="5"/>
      <dgm:spPr/>
    </dgm:pt>
    <dgm:pt modelId="{78FD8D75-1D87-461A-8907-2395D4136159}" type="pres">
      <dgm:prSet presAssocID="{8E0937CF-DBB3-42BF-8F63-75B3D8BCC84A}" presName="hierRoot2" presStyleCnt="0">
        <dgm:presLayoutVars>
          <dgm:hierBranch val="init"/>
        </dgm:presLayoutVars>
      </dgm:prSet>
      <dgm:spPr/>
    </dgm:pt>
    <dgm:pt modelId="{B165B3ED-FC79-4689-B546-CFC1AC0AC2C6}" type="pres">
      <dgm:prSet presAssocID="{8E0937CF-DBB3-42BF-8F63-75B3D8BCC84A}" presName="rootComposite" presStyleCnt="0"/>
      <dgm:spPr/>
    </dgm:pt>
    <dgm:pt modelId="{6CFB38A9-1079-4F45-9B5B-2F05384E53DE}" type="pres">
      <dgm:prSet presAssocID="{8E0937CF-DBB3-42BF-8F63-75B3D8BCC84A}" presName="rootText" presStyleLbl="node2" presStyleIdx="3" presStyleCnt="4">
        <dgm:presLayoutVars>
          <dgm:chPref val="3"/>
        </dgm:presLayoutVars>
      </dgm:prSet>
      <dgm:spPr/>
    </dgm:pt>
    <dgm:pt modelId="{5AB5A19A-5A92-4241-9854-697A0DE688E0}" type="pres">
      <dgm:prSet presAssocID="{8E0937CF-DBB3-42BF-8F63-75B3D8BCC84A}" presName="rootConnector" presStyleLbl="node2" presStyleIdx="3" presStyleCnt="4"/>
      <dgm:spPr/>
    </dgm:pt>
    <dgm:pt modelId="{6C6F5EDF-120B-440F-9262-02FFCF7C17AD}" type="pres">
      <dgm:prSet presAssocID="{8E0937CF-DBB3-42BF-8F63-75B3D8BCC84A}" presName="hierChild4" presStyleCnt="0"/>
      <dgm:spPr/>
    </dgm:pt>
    <dgm:pt modelId="{E7B7A1FE-568A-4486-9558-A306C67D998C}" type="pres">
      <dgm:prSet presAssocID="{8E0937CF-DBB3-42BF-8F63-75B3D8BCC84A}" presName="hierChild5" presStyleCnt="0"/>
      <dgm:spPr/>
    </dgm:pt>
    <dgm:pt modelId="{E26C18BE-6416-4EC6-B589-26E8DC68504F}" type="pres">
      <dgm:prSet presAssocID="{3C640517-ED2C-4E47-A477-B26138D7D166}" presName="hierChild3" presStyleCnt="0"/>
      <dgm:spPr/>
    </dgm:pt>
    <dgm:pt modelId="{8D085EF5-2A2C-4629-957C-AB3ECBE77815}" type="pres">
      <dgm:prSet presAssocID="{2AE762D1-177B-4DEB-94F2-18CDC5620766}" presName="Name111" presStyleLbl="parChTrans1D2" presStyleIdx="4" presStyleCnt="5"/>
      <dgm:spPr/>
    </dgm:pt>
    <dgm:pt modelId="{83DDA169-FCB4-4594-B917-1766688BF9BB}" type="pres">
      <dgm:prSet presAssocID="{2A441F1F-BA49-43C4-B671-E2CB87EA9ADB}" presName="hierRoot3" presStyleCnt="0">
        <dgm:presLayoutVars>
          <dgm:hierBranch val="init"/>
        </dgm:presLayoutVars>
      </dgm:prSet>
      <dgm:spPr/>
    </dgm:pt>
    <dgm:pt modelId="{16399011-231A-471D-B213-AF255D16F13E}" type="pres">
      <dgm:prSet presAssocID="{2A441F1F-BA49-43C4-B671-E2CB87EA9ADB}" presName="rootComposite3" presStyleCnt="0"/>
      <dgm:spPr/>
    </dgm:pt>
    <dgm:pt modelId="{ECCFD7BA-866C-4DDF-9619-1E677D50BE73}" type="pres">
      <dgm:prSet presAssocID="{2A441F1F-BA49-43C4-B671-E2CB87EA9ADB}" presName="rootText3" presStyleLbl="asst1" presStyleIdx="0" presStyleCnt="1">
        <dgm:presLayoutVars>
          <dgm:chPref val="3"/>
        </dgm:presLayoutVars>
      </dgm:prSet>
      <dgm:spPr/>
    </dgm:pt>
    <dgm:pt modelId="{0E3322C1-4328-4014-B656-995F43F9FBDD}" type="pres">
      <dgm:prSet presAssocID="{2A441F1F-BA49-43C4-B671-E2CB87EA9ADB}" presName="rootConnector3" presStyleLbl="asst1" presStyleIdx="0" presStyleCnt="1"/>
      <dgm:spPr/>
    </dgm:pt>
    <dgm:pt modelId="{F0D2FBD7-E1B3-481D-8B0C-C98A6D511DE2}" type="pres">
      <dgm:prSet presAssocID="{2A441F1F-BA49-43C4-B671-E2CB87EA9ADB}" presName="hierChild6" presStyleCnt="0"/>
      <dgm:spPr/>
    </dgm:pt>
    <dgm:pt modelId="{6F90BFB6-DAFF-40D7-B8EC-53C82C0DFB42}" type="pres">
      <dgm:prSet presAssocID="{2A441F1F-BA49-43C4-B671-E2CB87EA9ADB}" presName="hierChild7" presStyleCnt="0"/>
      <dgm:spPr/>
    </dgm:pt>
  </dgm:ptLst>
  <dgm:cxnLst>
    <dgm:cxn modelId="{0A7A610A-1163-48E7-84C3-84A0FFBE47DE}" type="presOf" srcId="{3EF04341-5705-48F7-8D64-4650F32EC566}" destId="{A0973AC7-63A6-4AC5-ABFB-BDDC1983CF3F}" srcOrd="0" destOrd="0" presId="urn:microsoft.com/office/officeart/2005/8/layout/orgChart1"/>
    <dgm:cxn modelId="{807B5F0C-679F-483E-BDFC-E24150ADD8C6}" type="presOf" srcId="{8E0937CF-DBB3-42BF-8F63-75B3D8BCC84A}" destId="{5AB5A19A-5A92-4241-9854-697A0DE688E0}" srcOrd="1" destOrd="0" presId="urn:microsoft.com/office/officeart/2005/8/layout/orgChart1"/>
    <dgm:cxn modelId="{327F6F13-1E07-4700-93BD-1D0024B1CAAE}" type="presOf" srcId="{2A441F1F-BA49-43C4-B671-E2CB87EA9ADB}" destId="{0E3322C1-4328-4014-B656-995F43F9FBDD}" srcOrd="1" destOrd="0" presId="urn:microsoft.com/office/officeart/2005/8/layout/orgChart1"/>
    <dgm:cxn modelId="{9B3D9D21-CA23-4791-ABB7-1E0AAF79E2AC}" type="presOf" srcId="{8E0937CF-DBB3-42BF-8F63-75B3D8BCC84A}" destId="{6CFB38A9-1079-4F45-9B5B-2F05384E53DE}" srcOrd="0" destOrd="0" presId="urn:microsoft.com/office/officeart/2005/8/layout/orgChart1"/>
    <dgm:cxn modelId="{7CAFE55B-97E2-4F9A-B96B-E697F76CFBE0}" type="presOf" srcId="{D0DC732A-EBC7-4EC3-89B8-3C42135FEB5D}" destId="{1C016315-F414-4406-BDEE-8B1A6ADC40A0}" srcOrd="0" destOrd="0" presId="urn:microsoft.com/office/officeart/2005/8/layout/orgChart1"/>
    <dgm:cxn modelId="{D0148D6B-CB74-4326-A07A-FF7DC8F31FB5}" srcId="{3C640517-ED2C-4E47-A477-B26138D7D166}" destId="{2A441F1F-BA49-43C4-B671-E2CB87EA9ADB}" srcOrd="4" destOrd="0" parTransId="{2AE762D1-177B-4DEB-94F2-18CDC5620766}" sibTransId="{1EAA2FE5-4591-4E60-83F8-D20D227799A7}"/>
    <dgm:cxn modelId="{5AA6506C-B76F-4DC0-8BAB-DA5D963604FB}" srcId="{3C640517-ED2C-4E47-A477-B26138D7D166}" destId="{0CAF11EB-7AFB-4486-BAA0-32AC198F10AD}" srcOrd="0" destOrd="0" parTransId="{3E96F5B8-48F3-4989-8C37-28897F8BC502}" sibTransId="{E2FBDA0A-59FA-4504-8045-2A142C47BA77}"/>
    <dgm:cxn modelId="{72C9CB51-077D-4F80-BC71-508874F1B583}" type="presOf" srcId="{2AE762D1-177B-4DEB-94F2-18CDC5620766}" destId="{8D085EF5-2A2C-4629-957C-AB3ECBE77815}" srcOrd="0" destOrd="0" presId="urn:microsoft.com/office/officeart/2005/8/layout/orgChart1"/>
    <dgm:cxn modelId="{BF010673-FCEB-4EF3-998E-5CEB8FAB2F36}" srcId="{3C640517-ED2C-4E47-A477-B26138D7D166}" destId="{E1ADCAC0-D1CD-4660-8C4D-9C9A517E65CC}" srcOrd="1" destOrd="0" parTransId="{6CF8FF3A-703C-4527-B752-FB1FBF3024D9}" sibTransId="{234A1D4E-72E7-46AB-864A-4C9F7DC62D47}"/>
    <dgm:cxn modelId="{E2232177-7E66-4735-B4EA-65C49531E872}" type="presOf" srcId="{B0932856-C9CE-468A-86FB-BC85D8761F77}" destId="{AB311073-31E0-4653-9FE6-EDAD52D3EC3F}" srcOrd="0" destOrd="0" presId="urn:microsoft.com/office/officeart/2005/8/layout/orgChart1"/>
    <dgm:cxn modelId="{AC09757F-695A-4A0B-8CB4-DD2ED44E4C95}" srcId="{3C640517-ED2C-4E47-A477-B26138D7D166}" destId="{8E0937CF-DBB3-42BF-8F63-75B3D8BCC84A}" srcOrd="3" destOrd="0" parTransId="{CFF628D6-3015-48AC-A5DF-D6FCD4BDDFBD}" sibTransId="{84DC393F-3102-43FA-B0B7-59755AA46180}"/>
    <dgm:cxn modelId="{85F1F18B-2C89-4460-B955-FA2BF696AAFD}" srcId="{3C640517-ED2C-4E47-A477-B26138D7D166}" destId="{D0DC732A-EBC7-4EC3-89B8-3C42135FEB5D}" srcOrd="2" destOrd="0" parTransId="{B0932856-C9CE-468A-86FB-BC85D8761F77}" sibTransId="{0754814C-44B2-4BFD-A59C-1163CF44EC7E}"/>
    <dgm:cxn modelId="{ACCD8D9A-2063-4D73-8C52-3D7F97BD9564}" type="presOf" srcId="{0CAF11EB-7AFB-4486-BAA0-32AC198F10AD}" destId="{21AACB74-DCE7-4CF9-B1D5-C411AC6AE2ED}" srcOrd="1" destOrd="0" presId="urn:microsoft.com/office/officeart/2005/8/layout/orgChart1"/>
    <dgm:cxn modelId="{7E06BB9F-8565-4423-B106-7AF3F5D91B37}" type="presOf" srcId="{6CF8FF3A-703C-4527-B752-FB1FBF3024D9}" destId="{1DB0512F-1409-4087-B95C-39DE5F7532C4}" srcOrd="0" destOrd="0" presId="urn:microsoft.com/office/officeart/2005/8/layout/orgChart1"/>
    <dgm:cxn modelId="{DA5EDEA8-C9F8-486F-A1C3-C37A9CFDE4B6}" type="presOf" srcId="{2A441F1F-BA49-43C4-B671-E2CB87EA9ADB}" destId="{ECCFD7BA-866C-4DDF-9619-1E677D50BE73}" srcOrd="0" destOrd="0" presId="urn:microsoft.com/office/officeart/2005/8/layout/orgChart1"/>
    <dgm:cxn modelId="{5A6480AC-4C6B-405B-A79D-8981CB3A7AA4}" type="presOf" srcId="{3C640517-ED2C-4E47-A477-B26138D7D166}" destId="{DECF79AB-EB31-4A70-B756-60E52335DBC3}" srcOrd="1" destOrd="0" presId="urn:microsoft.com/office/officeart/2005/8/layout/orgChart1"/>
    <dgm:cxn modelId="{75BC96B1-1D07-4721-BD05-3CF47F8ACB21}" type="presOf" srcId="{E1ADCAC0-D1CD-4660-8C4D-9C9A517E65CC}" destId="{BE9D585E-77D0-42B0-8CD5-D7C8E62E9863}" srcOrd="1" destOrd="0" presId="urn:microsoft.com/office/officeart/2005/8/layout/orgChart1"/>
    <dgm:cxn modelId="{3BBFB5BF-0ED7-4BB5-86C5-9E7D2D58564F}" type="presOf" srcId="{E1ADCAC0-D1CD-4660-8C4D-9C9A517E65CC}" destId="{96D876E6-CC2E-4497-B756-AA0742D945FA}" srcOrd="0" destOrd="0" presId="urn:microsoft.com/office/officeart/2005/8/layout/orgChart1"/>
    <dgm:cxn modelId="{29859AC5-8EB9-4E8F-9D9F-800B7EC27B2E}" srcId="{3EF04341-5705-48F7-8D64-4650F32EC566}" destId="{3C640517-ED2C-4E47-A477-B26138D7D166}" srcOrd="0" destOrd="0" parTransId="{4EA63A1B-2B31-4236-B003-9A48CC10EBC2}" sibTransId="{9B4B347E-9D02-4B05-8A27-E6F4A1CB0FA0}"/>
    <dgm:cxn modelId="{0EFEBACA-B246-493A-BB15-C6622CFF538F}" type="presOf" srcId="{3C640517-ED2C-4E47-A477-B26138D7D166}" destId="{BBD525B2-3BEE-43FA-8A85-F4D0C4BE62A7}" srcOrd="0" destOrd="0" presId="urn:microsoft.com/office/officeart/2005/8/layout/orgChart1"/>
    <dgm:cxn modelId="{30320DD1-5878-4521-9DA3-88B33131CE14}" type="presOf" srcId="{CFF628D6-3015-48AC-A5DF-D6FCD4BDDFBD}" destId="{0BF30EF1-5A9A-4DE9-AC49-7D2EF28E7BA0}" srcOrd="0" destOrd="0" presId="urn:microsoft.com/office/officeart/2005/8/layout/orgChart1"/>
    <dgm:cxn modelId="{1F3930E1-3170-46FE-8AD9-B9219B88DF48}" type="presOf" srcId="{0CAF11EB-7AFB-4486-BAA0-32AC198F10AD}" destId="{EF8AC299-3D87-448B-B2CC-BDB1B3D6B50E}" srcOrd="0" destOrd="0" presId="urn:microsoft.com/office/officeart/2005/8/layout/orgChart1"/>
    <dgm:cxn modelId="{CC9720EE-12BB-4973-9A2E-E1AE602F220F}" type="presOf" srcId="{D0DC732A-EBC7-4EC3-89B8-3C42135FEB5D}" destId="{B3FF4162-66B1-4140-BD6B-985B11446D58}" srcOrd="1" destOrd="0" presId="urn:microsoft.com/office/officeart/2005/8/layout/orgChart1"/>
    <dgm:cxn modelId="{DCC2D6FE-5A07-4F94-88D3-A1744FA83643}" type="presOf" srcId="{3E96F5B8-48F3-4989-8C37-28897F8BC502}" destId="{D85B6DE4-2CEA-4586-AF64-0208A2416268}" srcOrd="0" destOrd="0" presId="urn:microsoft.com/office/officeart/2005/8/layout/orgChart1"/>
    <dgm:cxn modelId="{30373AAA-6034-4093-AB01-64DEB7284DE7}" type="presParOf" srcId="{A0973AC7-63A6-4AC5-ABFB-BDDC1983CF3F}" destId="{4B327499-D4EA-43D9-8753-EF2F27CE3550}" srcOrd="0" destOrd="0" presId="urn:microsoft.com/office/officeart/2005/8/layout/orgChart1"/>
    <dgm:cxn modelId="{CBEA7165-63F9-494C-A0ED-B8693790782C}" type="presParOf" srcId="{4B327499-D4EA-43D9-8753-EF2F27CE3550}" destId="{FD4938CA-826E-4D0E-9667-FB8FEAB7A405}" srcOrd="0" destOrd="0" presId="urn:microsoft.com/office/officeart/2005/8/layout/orgChart1"/>
    <dgm:cxn modelId="{0BC6E913-C972-40E4-A75E-44A2703A287A}" type="presParOf" srcId="{FD4938CA-826E-4D0E-9667-FB8FEAB7A405}" destId="{BBD525B2-3BEE-43FA-8A85-F4D0C4BE62A7}" srcOrd="0" destOrd="0" presId="urn:microsoft.com/office/officeart/2005/8/layout/orgChart1"/>
    <dgm:cxn modelId="{039A72D0-F149-4A3D-A2C5-AFC307E735E3}" type="presParOf" srcId="{FD4938CA-826E-4D0E-9667-FB8FEAB7A405}" destId="{DECF79AB-EB31-4A70-B756-60E52335DBC3}" srcOrd="1" destOrd="0" presId="urn:microsoft.com/office/officeart/2005/8/layout/orgChart1"/>
    <dgm:cxn modelId="{0919C010-8228-4E1D-94D6-2D6388CE51CF}" type="presParOf" srcId="{4B327499-D4EA-43D9-8753-EF2F27CE3550}" destId="{4BFF1501-F809-4B6C-AC86-4B53FC785DA2}" srcOrd="1" destOrd="0" presId="urn:microsoft.com/office/officeart/2005/8/layout/orgChart1"/>
    <dgm:cxn modelId="{FB1BCC07-EF1C-4151-8E57-3CFB41A7C311}" type="presParOf" srcId="{4BFF1501-F809-4B6C-AC86-4B53FC785DA2}" destId="{D85B6DE4-2CEA-4586-AF64-0208A2416268}" srcOrd="0" destOrd="0" presId="urn:microsoft.com/office/officeart/2005/8/layout/orgChart1"/>
    <dgm:cxn modelId="{AF23C0FD-9E5A-410D-B8C6-3B4BD5A70259}" type="presParOf" srcId="{4BFF1501-F809-4B6C-AC86-4B53FC785DA2}" destId="{48D1D8A9-1AC6-4A6D-B84B-FDDE1BF9E0EE}" srcOrd="1" destOrd="0" presId="urn:microsoft.com/office/officeart/2005/8/layout/orgChart1"/>
    <dgm:cxn modelId="{90E47749-C42B-47F2-B5D0-921B45B9E0EF}" type="presParOf" srcId="{48D1D8A9-1AC6-4A6D-B84B-FDDE1BF9E0EE}" destId="{364EB939-7AD4-4725-9F07-CA71CB838435}" srcOrd="0" destOrd="0" presId="urn:microsoft.com/office/officeart/2005/8/layout/orgChart1"/>
    <dgm:cxn modelId="{57C25BDE-03D8-4E57-BFBD-A770100CBAFC}" type="presParOf" srcId="{364EB939-7AD4-4725-9F07-CA71CB838435}" destId="{EF8AC299-3D87-448B-B2CC-BDB1B3D6B50E}" srcOrd="0" destOrd="0" presId="urn:microsoft.com/office/officeart/2005/8/layout/orgChart1"/>
    <dgm:cxn modelId="{0F9556CA-2135-4C5F-9B3B-2A39D091FABA}" type="presParOf" srcId="{364EB939-7AD4-4725-9F07-CA71CB838435}" destId="{21AACB74-DCE7-4CF9-B1D5-C411AC6AE2ED}" srcOrd="1" destOrd="0" presId="urn:microsoft.com/office/officeart/2005/8/layout/orgChart1"/>
    <dgm:cxn modelId="{A1E477DD-902C-4DC7-9065-59C0B593992C}" type="presParOf" srcId="{48D1D8A9-1AC6-4A6D-B84B-FDDE1BF9E0EE}" destId="{A500726B-6009-4EE1-9C20-3E2A6424A5D4}" srcOrd="1" destOrd="0" presId="urn:microsoft.com/office/officeart/2005/8/layout/orgChart1"/>
    <dgm:cxn modelId="{97E65065-AADA-4032-B2EA-2E4CFC5436C5}" type="presParOf" srcId="{48D1D8A9-1AC6-4A6D-B84B-FDDE1BF9E0EE}" destId="{6815DE78-669A-4E38-8CA1-FBFE8E2FB1E5}" srcOrd="2" destOrd="0" presId="urn:microsoft.com/office/officeart/2005/8/layout/orgChart1"/>
    <dgm:cxn modelId="{51495829-720A-44D0-963A-13E99F56FEC8}" type="presParOf" srcId="{4BFF1501-F809-4B6C-AC86-4B53FC785DA2}" destId="{1DB0512F-1409-4087-B95C-39DE5F7532C4}" srcOrd="2" destOrd="0" presId="urn:microsoft.com/office/officeart/2005/8/layout/orgChart1"/>
    <dgm:cxn modelId="{EF72BE30-A115-405B-914F-AF5FA2633BAB}" type="presParOf" srcId="{4BFF1501-F809-4B6C-AC86-4B53FC785DA2}" destId="{97982C28-BF47-47CB-8E63-12C8001AF5D5}" srcOrd="3" destOrd="0" presId="urn:microsoft.com/office/officeart/2005/8/layout/orgChart1"/>
    <dgm:cxn modelId="{1BAFD03C-6417-4B73-8AD1-B8184D3428B2}" type="presParOf" srcId="{97982C28-BF47-47CB-8E63-12C8001AF5D5}" destId="{438F6D67-973F-46A8-AB7B-0893F73472DF}" srcOrd="0" destOrd="0" presId="urn:microsoft.com/office/officeart/2005/8/layout/orgChart1"/>
    <dgm:cxn modelId="{D1F306C4-0A47-4B80-AD2C-727B11E330C9}" type="presParOf" srcId="{438F6D67-973F-46A8-AB7B-0893F73472DF}" destId="{96D876E6-CC2E-4497-B756-AA0742D945FA}" srcOrd="0" destOrd="0" presId="urn:microsoft.com/office/officeart/2005/8/layout/orgChart1"/>
    <dgm:cxn modelId="{37D50B10-12C8-4EA2-8BD7-A9E02267B9E9}" type="presParOf" srcId="{438F6D67-973F-46A8-AB7B-0893F73472DF}" destId="{BE9D585E-77D0-42B0-8CD5-D7C8E62E9863}" srcOrd="1" destOrd="0" presId="urn:microsoft.com/office/officeart/2005/8/layout/orgChart1"/>
    <dgm:cxn modelId="{656AF14A-5734-4B4E-BD31-59F2638816B2}" type="presParOf" srcId="{97982C28-BF47-47CB-8E63-12C8001AF5D5}" destId="{B82B4164-5F8E-4E1A-97E9-347EF75667F8}" srcOrd="1" destOrd="0" presId="urn:microsoft.com/office/officeart/2005/8/layout/orgChart1"/>
    <dgm:cxn modelId="{81F85BAE-C553-45A9-AA2C-92817B519F1D}" type="presParOf" srcId="{97982C28-BF47-47CB-8E63-12C8001AF5D5}" destId="{40F63C5A-41B0-483F-837F-2AD4770515BA}" srcOrd="2" destOrd="0" presId="urn:microsoft.com/office/officeart/2005/8/layout/orgChart1"/>
    <dgm:cxn modelId="{2A3E0304-B4DC-497B-BB73-1E68F0E6232F}" type="presParOf" srcId="{4BFF1501-F809-4B6C-AC86-4B53FC785DA2}" destId="{AB311073-31E0-4653-9FE6-EDAD52D3EC3F}" srcOrd="4" destOrd="0" presId="urn:microsoft.com/office/officeart/2005/8/layout/orgChart1"/>
    <dgm:cxn modelId="{A94568FD-FEBD-4A95-8198-4D974B361F6D}" type="presParOf" srcId="{4BFF1501-F809-4B6C-AC86-4B53FC785DA2}" destId="{32817ABF-C719-4DE6-ACC8-490AF72BAD31}" srcOrd="5" destOrd="0" presId="urn:microsoft.com/office/officeart/2005/8/layout/orgChart1"/>
    <dgm:cxn modelId="{A77E9673-6CB0-47F9-9ACA-DAE034AE1EB2}" type="presParOf" srcId="{32817ABF-C719-4DE6-ACC8-490AF72BAD31}" destId="{66D2BB3E-38C0-427F-8A5A-C90A5ED2B3FC}" srcOrd="0" destOrd="0" presId="urn:microsoft.com/office/officeart/2005/8/layout/orgChart1"/>
    <dgm:cxn modelId="{38FA8FA9-502E-480B-B91D-9ECBB73AAE01}" type="presParOf" srcId="{66D2BB3E-38C0-427F-8A5A-C90A5ED2B3FC}" destId="{1C016315-F414-4406-BDEE-8B1A6ADC40A0}" srcOrd="0" destOrd="0" presId="urn:microsoft.com/office/officeart/2005/8/layout/orgChart1"/>
    <dgm:cxn modelId="{37DD65BB-1C04-440A-953F-5C2117850413}" type="presParOf" srcId="{66D2BB3E-38C0-427F-8A5A-C90A5ED2B3FC}" destId="{B3FF4162-66B1-4140-BD6B-985B11446D58}" srcOrd="1" destOrd="0" presId="urn:microsoft.com/office/officeart/2005/8/layout/orgChart1"/>
    <dgm:cxn modelId="{56775FBC-2928-4BDA-BF0A-4F49023CD3B2}" type="presParOf" srcId="{32817ABF-C719-4DE6-ACC8-490AF72BAD31}" destId="{334F5F18-2FAB-47ED-B2C5-5193140884F2}" srcOrd="1" destOrd="0" presId="urn:microsoft.com/office/officeart/2005/8/layout/orgChart1"/>
    <dgm:cxn modelId="{16E7FB4B-E095-49E6-8326-BECE22A7C3BA}" type="presParOf" srcId="{32817ABF-C719-4DE6-ACC8-490AF72BAD31}" destId="{AFC3993C-D7A2-4E8D-B7A1-17DAE107FD72}" srcOrd="2" destOrd="0" presId="urn:microsoft.com/office/officeart/2005/8/layout/orgChart1"/>
    <dgm:cxn modelId="{DC05394F-645E-4EC8-833F-877F147E8BD3}" type="presParOf" srcId="{4BFF1501-F809-4B6C-AC86-4B53FC785DA2}" destId="{0BF30EF1-5A9A-4DE9-AC49-7D2EF28E7BA0}" srcOrd="6" destOrd="0" presId="urn:microsoft.com/office/officeart/2005/8/layout/orgChart1"/>
    <dgm:cxn modelId="{84FA7499-CF68-47B7-A95D-704AE88852C0}" type="presParOf" srcId="{4BFF1501-F809-4B6C-AC86-4B53FC785DA2}" destId="{78FD8D75-1D87-461A-8907-2395D4136159}" srcOrd="7" destOrd="0" presId="urn:microsoft.com/office/officeart/2005/8/layout/orgChart1"/>
    <dgm:cxn modelId="{395602E4-EB66-484D-B96A-C63AD5ED7B79}" type="presParOf" srcId="{78FD8D75-1D87-461A-8907-2395D4136159}" destId="{B165B3ED-FC79-4689-B546-CFC1AC0AC2C6}" srcOrd="0" destOrd="0" presId="urn:microsoft.com/office/officeart/2005/8/layout/orgChart1"/>
    <dgm:cxn modelId="{BE5FE571-8216-4BAC-8F53-EEF854A06FDD}" type="presParOf" srcId="{B165B3ED-FC79-4689-B546-CFC1AC0AC2C6}" destId="{6CFB38A9-1079-4F45-9B5B-2F05384E53DE}" srcOrd="0" destOrd="0" presId="urn:microsoft.com/office/officeart/2005/8/layout/orgChart1"/>
    <dgm:cxn modelId="{882F7C81-EB49-4B81-9CEA-75383888F900}" type="presParOf" srcId="{B165B3ED-FC79-4689-B546-CFC1AC0AC2C6}" destId="{5AB5A19A-5A92-4241-9854-697A0DE688E0}" srcOrd="1" destOrd="0" presId="urn:microsoft.com/office/officeart/2005/8/layout/orgChart1"/>
    <dgm:cxn modelId="{47DF183E-FA5E-4903-8240-D2C88EBCB965}" type="presParOf" srcId="{78FD8D75-1D87-461A-8907-2395D4136159}" destId="{6C6F5EDF-120B-440F-9262-02FFCF7C17AD}" srcOrd="1" destOrd="0" presId="urn:microsoft.com/office/officeart/2005/8/layout/orgChart1"/>
    <dgm:cxn modelId="{6E95F159-91CF-424F-B196-B530114D5454}" type="presParOf" srcId="{78FD8D75-1D87-461A-8907-2395D4136159}" destId="{E7B7A1FE-568A-4486-9558-A306C67D998C}" srcOrd="2" destOrd="0" presId="urn:microsoft.com/office/officeart/2005/8/layout/orgChart1"/>
    <dgm:cxn modelId="{66DC0AB8-4FB0-415E-9270-A645C9A070F3}" type="presParOf" srcId="{4B327499-D4EA-43D9-8753-EF2F27CE3550}" destId="{E26C18BE-6416-4EC6-B589-26E8DC68504F}" srcOrd="2" destOrd="0" presId="urn:microsoft.com/office/officeart/2005/8/layout/orgChart1"/>
    <dgm:cxn modelId="{F467FB4D-C50F-4C36-AF53-5FEA4BC90374}" type="presParOf" srcId="{E26C18BE-6416-4EC6-B589-26E8DC68504F}" destId="{8D085EF5-2A2C-4629-957C-AB3ECBE77815}" srcOrd="0" destOrd="0" presId="urn:microsoft.com/office/officeart/2005/8/layout/orgChart1"/>
    <dgm:cxn modelId="{58FEF6E5-50B7-47F8-B9C2-A5E5B75AC55C}" type="presParOf" srcId="{E26C18BE-6416-4EC6-B589-26E8DC68504F}" destId="{83DDA169-FCB4-4594-B917-1766688BF9BB}" srcOrd="1" destOrd="0" presId="urn:microsoft.com/office/officeart/2005/8/layout/orgChart1"/>
    <dgm:cxn modelId="{6EA4B759-C4FB-4834-A1DD-FE479142E12D}" type="presParOf" srcId="{83DDA169-FCB4-4594-B917-1766688BF9BB}" destId="{16399011-231A-471D-B213-AF255D16F13E}" srcOrd="0" destOrd="0" presId="urn:microsoft.com/office/officeart/2005/8/layout/orgChart1"/>
    <dgm:cxn modelId="{27362B70-A570-417B-9931-8BC4BC3CA5C0}" type="presParOf" srcId="{16399011-231A-471D-B213-AF255D16F13E}" destId="{ECCFD7BA-866C-4DDF-9619-1E677D50BE73}" srcOrd="0" destOrd="0" presId="urn:microsoft.com/office/officeart/2005/8/layout/orgChart1"/>
    <dgm:cxn modelId="{7EE3B98F-5C2A-4DF2-A526-401FB1C625AD}" type="presParOf" srcId="{16399011-231A-471D-B213-AF255D16F13E}" destId="{0E3322C1-4328-4014-B656-995F43F9FBDD}" srcOrd="1" destOrd="0" presId="urn:microsoft.com/office/officeart/2005/8/layout/orgChart1"/>
    <dgm:cxn modelId="{165AAE64-FF72-4C30-8824-C3068609D5DA}" type="presParOf" srcId="{83DDA169-FCB4-4594-B917-1766688BF9BB}" destId="{F0D2FBD7-E1B3-481D-8B0C-C98A6D511DE2}" srcOrd="1" destOrd="0" presId="urn:microsoft.com/office/officeart/2005/8/layout/orgChart1"/>
    <dgm:cxn modelId="{1C761260-EEA6-471A-803F-7EAB709FE882}" type="presParOf" srcId="{83DDA169-FCB4-4594-B917-1766688BF9BB}" destId="{6F90BFB6-DAFF-40D7-B8EC-53C82C0DFB42}"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085EF5-2A2C-4629-957C-AB3ECBE77815}">
      <dsp:nvSpPr>
        <dsp:cNvPr id="0" name=""/>
        <dsp:cNvSpPr/>
      </dsp:nvSpPr>
      <dsp:spPr>
        <a:xfrm>
          <a:off x="2618907" y="1055678"/>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30EF1-5A9A-4DE9-AC49-7D2EF28E7BA0}">
      <dsp:nvSpPr>
        <dsp:cNvPr id="0" name=""/>
        <dsp:cNvSpPr/>
      </dsp:nvSpPr>
      <dsp:spPr>
        <a:xfrm>
          <a:off x="2743200" y="1055678"/>
          <a:ext cx="2148491" cy="1089042"/>
        </a:xfrm>
        <a:custGeom>
          <a:avLst/>
          <a:gdLst/>
          <a:ahLst/>
          <a:cxnLst/>
          <a:rect l="0" t="0" r="0" b="0"/>
          <a:pathLst>
            <a:path>
              <a:moveTo>
                <a:pt x="0" y="0"/>
              </a:moveTo>
              <a:lnTo>
                <a:pt x="0" y="964749"/>
              </a:lnTo>
              <a:lnTo>
                <a:pt x="2148491" y="964749"/>
              </a:lnTo>
              <a:lnTo>
                <a:pt x="2148491"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11073-31E0-4653-9FE6-EDAD52D3EC3F}">
      <dsp:nvSpPr>
        <dsp:cNvPr id="0" name=""/>
        <dsp:cNvSpPr/>
      </dsp:nvSpPr>
      <dsp:spPr>
        <a:xfrm>
          <a:off x="2743200" y="1055678"/>
          <a:ext cx="716163" cy="1089042"/>
        </a:xfrm>
        <a:custGeom>
          <a:avLst/>
          <a:gdLst/>
          <a:ahLst/>
          <a:cxnLst/>
          <a:rect l="0" t="0" r="0" b="0"/>
          <a:pathLst>
            <a:path>
              <a:moveTo>
                <a:pt x="0" y="0"/>
              </a:moveTo>
              <a:lnTo>
                <a:pt x="0" y="964749"/>
              </a:lnTo>
              <a:lnTo>
                <a:pt x="716163" y="964749"/>
              </a:lnTo>
              <a:lnTo>
                <a:pt x="716163"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0512F-1409-4087-B95C-39DE5F7532C4}">
      <dsp:nvSpPr>
        <dsp:cNvPr id="0" name=""/>
        <dsp:cNvSpPr/>
      </dsp:nvSpPr>
      <dsp:spPr>
        <a:xfrm>
          <a:off x="2027036" y="1055678"/>
          <a:ext cx="716163" cy="1089042"/>
        </a:xfrm>
        <a:custGeom>
          <a:avLst/>
          <a:gdLst/>
          <a:ahLst/>
          <a:cxnLst/>
          <a:rect l="0" t="0" r="0" b="0"/>
          <a:pathLst>
            <a:path>
              <a:moveTo>
                <a:pt x="716163" y="0"/>
              </a:moveTo>
              <a:lnTo>
                <a:pt x="716163"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B6DE4-2CEA-4586-AF64-0208A2416268}">
      <dsp:nvSpPr>
        <dsp:cNvPr id="0" name=""/>
        <dsp:cNvSpPr/>
      </dsp:nvSpPr>
      <dsp:spPr>
        <a:xfrm>
          <a:off x="594708" y="1055678"/>
          <a:ext cx="2148491" cy="1089042"/>
        </a:xfrm>
        <a:custGeom>
          <a:avLst/>
          <a:gdLst/>
          <a:ahLst/>
          <a:cxnLst/>
          <a:rect l="0" t="0" r="0" b="0"/>
          <a:pathLst>
            <a:path>
              <a:moveTo>
                <a:pt x="2148491" y="0"/>
              </a:moveTo>
              <a:lnTo>
                <a:pt x="2148491"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525B2-3BEE-43FA-8A85-F4D0C4BE62A7}">
      <dsp:nvSpPr>
        <dsp:cNvPr id="0" name=""/>
        <dsp:cNvSpPr/>
      </dsp:nvSpPr>
      <dsp:spPr>
        <a:xfrm>
          <a:off x="2151329" y="46380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MWS Installer</a:t>
          </a:r>
        </a:p>
      </dsp:txBody>
      <dsp:txXfrm>
        <a:off x="2151329" y="463807"/>
        <a:ext cx="1183741" cy="591870"/>
      </dsp:txXfrm>
    </dsp:sp>
    <dsp:sp modelId="{EF8AC299-3D87-448B-B2CC-BDB1B3D6B50E}">
      <dsp:nvSpPr>
        <dsp:cNvPr id="0" name=""/>
        <dsp:cNvSpPr/>
      </dsp:nvSpPr>
      <dsp:spPr>
        <a:xfrm>
          <a:off x="2837"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Dig Work</a:t>
          </a:r>
        </a:p>
        <a:p>
          <a:pPr marL="0" lvl="0" indent="0" algn="ctr" defTabSz="400050">
            <a:lnSpc>
              <a:spcPct val="90000"/>
            </a:lnSpc>
            <a:spcBef>
              <a:spcPct val="0"/>
            </a:spcBef>
            <a:spcAft>
              <a:spcPct val="35000"/>
            </a:spcAft>
            <a:buNone/>
          </a:pPr>
          <a:r>
            <a:rPr lang="en-GB" sz="900" kern="1200"/>
            <a:t>MWS DLO and varied supply chain partners (Geographically driven)</a:t>
          </a:r>
        </a:p>
      </dsp:txBody>
      <dsp:txXfrm>
        <a:off x="2837" y="2144721"/>
        <a:ext cx="1183741" cy="591870"/>
      </dsp:txXfrm>
    </dsp:sp>
    <dsp:sp modelId="{96D876E6-CC2E-4497-B756-AA0742D945FA}">
      <dsp:nvSpPr>
        <dsp:cNvPr id="0" name=""/>
        <dsp:cNvSpPr/>
      </dsp:nvSpPr>
      <dsp:spPr>
        <a:xfrm>
          <a:off x="1435165"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Internal Plumbing Work</a:t>
          </a:r>
        </a:p>
        <a:p>
          <a:pPr marL="0" lvl="0" indent="0" algn="ctr" defTabSz="400050">
            <a:lnSpc>
              <a:spcPct val="90000"/>
            </a:lnSpc>
            <a:spcBef>
              <a:spcPct val="0"/>
            </a:spcBef>
            <a:spcAft>
              <a:spcPct val="35000"/>
            </a:spcAft>
            <a:buNone/>
          </a:pPr>
          <a:r>
            <a:rPr lang="en-GB" sz="900" kern="1200"/>
            <a:t>Supply Chain </a:t>
          </a:r>
        </a:p>
        <a:p>
          <a:pPr marL="0" lvl="0" indent="0" algn="ctr" defTabSz="400050">
            <a:lnSpc>
              <a:spcPct val="90000"/>
            </a:lnSpc>
            <a:spcBef>
              <a:spcPct val="0"/>
            </a:spcBef>
            <a:spcAft>
              <a:spcPct val="35000"/>
            </a:spcAft>
            <a:buNone/>
          </a:pPr>
          <a:r>
            <a:rPr lang="en-GB" sz="900" kern="1200"/>
            <a:t>PBHS and Aquaforce</a:t>
          </a:r>
        </a:p>
      </dsp:txBody>
      <dsp:txXfrm>
        <a:off x="1435165" y="2144721"/>
        <a:ext cx="1183741" cy="591870"/>
      </dsp:txXfrm>
    </dsp:sp>
    <dsp:sp modelId="{1C016315-F414-4406-BDEE-8B1A6ADC40A0}">
      <dsp:nvSpPr>
        <dsp:cNvPr id="0" name=""/>
        <dsp:cNvSpPr/>
      </dsp:nvSpPr>
      <dsp:spPr>
        <a:xfrm>
          <a:off x="2867492"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External Replacement</a:t>
          </a:r>
        </a:p>
        <a:p>
          <a:pPr marL="0" lvl="0" indent="0" algn="ctr" defTabSz="400050">
            <a:lnSpc>
              <a:spcPct val="90000"/>
            </a:lnSpc>
            <a:spcBef>
              <a:spcPct val="0"/>
            </a:spcBef>
            <a:spcAft>
              <a:spcPct val="35000"/>
            </a:spcAft>
            <a:buNone/>
          </a:pPr>
          <a:r>
            <a:rPr lang="en-GB" sz="900" kern="1200"/>
            <a:t>MWS DLO</a:t>
          </a:r>
        </a:p>
      </dsp:txBody>
      <dsp:txXfrm>
        <a:off x="2867492" y="2144721"/>
        <a:ext cx="1183741" cy="591870"/>
      </dsp:txXfrm>
    </dsp:sp>
    <dsp:sp modelId="{6CFB38A9-1079-4F45-9B5B-2F05384E53DE}">
      <dsp:nvSpPr>
        <dsp:cNvPr id="0" name=""/>
        <dsp:cNvSpPr/>
      </dsp:nvSpPr>
      <dsp:spPr>
        <a:xfrm>
          <a:off x="4299820"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Logisitcs Support </a:t>
          </a:r>
        </a:p>
        <a:p>
          <a:pPr marL="0" lvl="0" indent="0" algn="ctr" defTabSz="400050">
            <a:lnSpc>
              <a:spcPct val="90000"/>
            </a:lnSpc>
            <a:spcBef>
              <a:spcPct val="0"/>
            </a:spcBef>
            <a:spcAft>
              <a:spcPct val="35000"/>
            </a:spcAft>
            <a:buNone/>
          </a:pPr>
          <a:r>
            <a:rPr lang="en-GB" sz="900" kern="1200"/>
            <a:t>(2 potential partners TBC)</a:t>
          </a:r>
        </a:p>
      </dsp:txBody>
      <dsp:txXfrm>
        <a:off x="4299820" y="2144721"/>
        <a:ext cx="1183741" cy="591870"/>
      </dsp:txXfrm>
    </dsp:sp>
    <dsp:sp modelId="{ECCFD7BA-866C-4DDF-9619-1E677D50BE73}">
      <dsp:nvSpPr>
        <dsp:cNvPr id="0" name=""/>
        <dsp:cNvSpPr/>
      </dsp:nvSpPr>
      <dsp:spPr>
        <a:xfrm>
          <a:off x="1435165" y="1304264"/>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Call Centre</a:t>
          </a:r>
        </a:p>
        <a:p>
          <a:pPr marL="0" lvl="0" indent="0" algn="ctr" defTabSz="400050">
            <a:lnSpc>
              <a:spcPct val="90000"/>
            </a:lnSpc>
            <a:spcBef>
              <a:spcPct val="0"/>
            </a:spcBef>
            <a:spcAft>
              <a:spcPct val="35000"/>
            </a:spcAft>
            <a:buNone/>
          </a:pPr>
          <a:r>
            <a:rPr lang="en-GB" sz="900" kern="1200"/>
            <a:t>MWS Central Team</a:t>
          </a:r>
        </a:p>
      </dsp:txBody>
      <dsp:txXfrm>
        <a:off x="1435165" y="1304264"/>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b81268-3d7e-485e-8ad9-a7cd21ca6437">
      <Terms xmlns="http://schemas.microsoft.com/office/infopath/2007/PartnerControls"/>
    </lcf76f155ced4ddcb4097134ff3c332f>
    <TaxCatchAll xmlns="21f255fc-6472-49dc-a997-677b8d9fba3d" xsi:nil="true"/>
    <SharedWithUsers xmlns="21f255fc-6472-49dc-a997-677b8d9fba3d">
      <UserInfo>
        <DisplayName/>
        <AccountId xsi:nil="true"/>
        <AccountType/>
      </UserInfo>
    </SharedWithUsers>
    <MediaLengthInSeconds xmlns="eab81268-3d7e-485e-8ad9-a7cd21ca6437" xsi:nil="true"/>
  </documentManagement>
</p:properties>
</file>

<file path=customXml/itemProps1.xml><?xml version="1.0" encoding="utf-8"?>
<ds:datastoreItem xmlns:ds="http://schemas.openxmlformats.org/officeDocument/2006/customXml" ds:itemID="{7C7CC165-9071-4224-9358-615E676E1AD7}"/>
</file>

<file path=customXml/itemProps2.xml><?xml version="1.0" encoding="utf-8"?>
<ds:datastoreItem xmlns:ds="http://schemas.openxmlformats.org/officeDocument/2006/customXml" ds:itemID="{E891F3EC-191A-41F7-8CD7-F2CDD5EE5299}"/>
</file>

<file path=customXml/itemProps3.xml><?xml version="1.0" encoding="utf-8"?>
<ds:datastoreItem xmlns:ds="http://schemas.openxmlformats.org/officeDocument/2006/customXml" ds:itemID="{7A7E0E14-8852-49C8-8751-75318EB2BB0A}"/>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Booth</dc:creator>
  <cp:keywords/>
  <dc:description/>
  <cp:lastModifiedBy>Stanyon, Steve</cp:lastModifiedBy>
  <cp:revision>2</cp:revision>
  <dcterms:created xsi:type="dcterms:W3CDTF">2024-03-27T12:16:00Z</dcterms:created>
  <dcterms:modified xsi:type="dcterms:W3CDTF">2024-03-27T12:16:00Z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Order">
    <vt:r8>155900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