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A480" w14:textId="6B808BAE" w:rsidR="008F0023" w:rsidRDefault="008F0023" w:rsidP="008F0023">
      <w:pPr>
        <w:pStyle w:val="NormalWeb"/>
        <w:spacing w:before="0" w:beforeAutospacing="0" w:after="160" w:afterAutospacing="0"/>
      </w:pPr>
      <w:r>
        <w:rPr>
          <w:rFonts w:ascii="Aptos" w:hAnsi="Aptos"/>
          <w:b/>
          <w:bCs/>
          <w:color w:val="000000"/>
          <w:sz w:val="22"/>
          <w:szCs w:val="22"/>
          <w:u w:val="single"/>
        </w:rPr>
        <w:t>ITT Q3 Response (500 – 1000 words)</w:t>
      </w:r>
    </w:p>
    <w:p w14:paraId="17877E12" w14:textId="77777777" w:rsidR="008F0023" w:rsidRDefault="008F0023" w:rsidP="008F0023">
      <w:pPr>
        <w:pStyle w:val="NormalWeb"/>
        <w:spacing w:before="0" w:beforeAutospacing="0" w:after="160" w:afterAutospacing="0"/>
      </w:pPr>
      <w:r>
        <w:rPr>
          <w:rFonts w:ascii="Aptos" w:hAnsi="Aptos"/>
          <w:color w:val="000000"/>
          <w:sz w:val="22"/>
          <w:szCs w:val="22"/>
        </w:rPr>
        <w:t>Provide a detailed programme / plan of activity that shows the mobilisation period between contract award date and the start of AMP8</w:t>
      </w:r>
    </w:p>
    <w:p w14:paraId="43FC3B86" w14:textId="77777777" w:rsidR="008F0023" w:rsidRDefault="008F0023" w:rsidP="008F0023">
      <w:pPr>
        <w:pStyle w:val="NormalWeb"/>
        <w:spacing w:before="0" w:beforeAutospacing="0" w:after="160" w:afterAutospacing="0"/>
      </w:pPr>
    </w:p>
    <w:p w14:paraId="3E846C5B" w14:textId="77777777" w:rsidR="008F0023" w:rsidRDefault="008F0023" w:rsidP="008F0023">
      <w:pPr>
        <w:pStyle w:val="NormalWeb"/>
        <w:spacing w:before="0" w:beforeAutospacing="0" w:after="160" w:afterAutospacing="0"/>
      </w:pPr>
      <w:r>
        <w:rPr>
          <w:rFonts w:ascii="Aptos" w:hAnsi="Aptos"/>
          <w:color w:val="000000"/>
          <w:sz w:val="22"/>
          <w:szCs w:val="22"/>
        </w:rPr>
        <w:t>This should be in detail and include, but not be limited to:</w:t>
      </w:r>
    </w:p>
    <w:p w14:paraId="793DAF61" w14:textId="77777777" w:rsidR="008F0023" w:rsidRDefault="008F0023" w:rsidP="008F0023">
      <w:pPr>
        <w:pStyle w:val="NormalWeb"/>
        <w:spacing w:before="0" w:beforeAutospacing="0" w:after="160" w:afterAutospacing="0"/>
      </w:pPr>
      <w:r>
        <w:rPr>
          <w:rFonts w:ascii="Aptos" w:hAnsi="Aptos"/>
          <w:color w:val="000000"/>
          <w:sz w:val="22"/>
          <w:szCs w:val="22"/>
        </w:rPr>
        <w:t>- Each of the different service lines and the dependencies between them</w:t>
      </w:r>
    </w:p>
    <w:p w14:paraId="4E7E11A6" w14:textId="77777777" w:rsidR="008F0023" w:rsidRDefault="008F0023" w:rsidP="008F0023">
      <w:pPr>
        <w:pStyle w:val="NormalWeb"/>
        <w:spacing w:before="0" w:beforeAutospacing="0" w:after="160" w:afterAutospacing="0"/>
      </w:pPr>
      <w:r>
        <w:rPr>
          <w:rFonts w:ascii="Aptos" w:hAnsi="Aptos"/>
          <w:color w:val="000000"/>
          <w:sz w:val="22"/>
          <w:szCs w:val="22"/>
        </w:rPr>
        <w:t>- Gantt chart and timetable, covering up until the start date of the contract</w:t>
      </w:r>
    </w:p>
    <w:p w14:paraId="5577FF6B" w14:textId="77777777" w:rsidR="008F0023" w:rsidRDefault="008F0023" w:rsidP="008F0023">
      <w:pPr>
        <w:pStyle w:val="NormalWeb"/>
        <w:spacing w:before="0" w:beforeAutospacing="0" w:after="160" w:afterAutospacing="0"/>
      </w:pPr>
      <w:r>
        <w:rPr>
          <w:rFonts w:ascii="Aptos" w:hAnsi="Aptos"/>
          <w:color w:val="000000"/>
          <w:sz w:val="22"/>
          <w:szCs w:val="22"/>
        </w:rPr>
        <w:t>- Any requirements to scale up production capacity and how they will be achieved</w:t>
      </w:r>
    </w:p>
    <w:p w14:paraId="778E9E35" w14:textId="77777777" w:rsidR="008F0023" w:rsidRDefault="008F0023" w:rsidP="008F0023">
      <w:pPr>
        <w:pStyle w:val="NormalWeb"/>
        <w:spacing w:before="0" w:beforeAutospacing="0" w:after="160" w:afterAutospacing="0"/>
      </w:pPr>
      <w:r>
        <w:rPr>
          <w:rFonts w:ascii="Aptos" w:hAnsi="Aptos"/>
          <w:color w:val="000000"/>
          <w:sz w:val="22"/>
          <w:szCs w:val="22"/>
        </w:rPr>
        <w:t>- Systems integration</w:t>
      </w:r>
    </w:p>
    <w:p w14:paraId="35585E80" w14:textId="77777777" w:rsidR="008F0023" w:rsidRDefault="008F0023" w:rsidP="008F0023">
      <w:pPr>
        <w:pStyle w:val="NormalWeb"/>
        <w:spacing w:before="0" w:beforeAutospacing="0" w:after="160" w:afterAutospacing="0"/>
      </w:pPr>
      <w:r>
        <w:rPr>
          <w:rFonts w:ascii="Aptos" w:hAnsi="Aptos"/>
          <w:color w:val="000000"/>
          <w:sz w:val="22"/>
          <w:szCs w:val="22"/>
        </w:rPr>
        <w:t>- Communication plans</w:t>
      </w:r>
    </w:p>
    <w:p w14:paraId="1A2E2919" w14:textId="77777777" w:rsidR="008F0023" w:rsidRDefault="008F0023" w:rsidP="008F0023">
      <w:pPr>
        <w:pStyle w:val="NormalWeb"/>
        <w:spacing w:before="0" w:beforeAutospacing="0" w:after="160" w:afterAutospacing="0"/>
      </w:pPr>
      <w:r>
        <w:rPr>
          <w:rFonts w:ascii="Aptos" w:hAnsi="Aptos"/>
          <w:color w:val="000000"/>
          <w:sz w:val="22"/>
          <w:szCs w:val="22"/>
        </w:rPr>
        <w:t>- Any assumptions made and/or key information require to ratify plans</w:t>
      </w:r>
    </w:p>
    <w:p w14:paraId="77EB5A54" w14:textId="77777777" w:rsidR="008F0023" w:rsidRDefault="008F0023" w:rsidP="008F0023">
      <w:pPr>
        <w:pStyle w:val="NormalWeb"/>
        <w:spacing w:before="0" w:beforeAutospacing="0" w:after="160" w:afterAutospacing="0"/>
      </w:pPr>
      <w:r>
        <w:rPr>
          <w:rFonts w:ascii="Aptos" w:hAnsi="Aptos"/>
          <w:color w:val="000000"/>
          <w:sz w:val="22"/>
          <w:szCs w:val="22"/>
        </w:rPr>
        <w:t>- Any cash requirements and how they will be funded</w:t>
      </w:r>
    </w:p>
    <w:p w14:paraId="1AF535D7" w14:textId="77777777" w:rsidR="008F0023" w:rsidRDefault="008F0023" w:rsidP="008F0023">
      <w:pPr>
        <w:pStyle w:val="NormalWeb"/>
        <w:spacing w:before="0" w:beforeAutospacing="0" w:after="160" w:afterAutospacing="0"/>
      </w:pPr>
    </w:p>
    <w:p w14:paraId="4C1F2D2E" w14:textId="77777777" w:rsidR="008F0023" w:rsidRDefault="008F0023" w:rsidP="008F0023">
      <w:pPr>
        <w:pStyle w:val="NormalWeb"/>
        <w:spacing w:before="0" w:beforeAutospacing="0" w:after="160" w:afterAutospacing="0"/>
      </w:pPr>
      <w:r>
        <w:rPr>
          <w:rFonts w:ascii="Aptos" w:hAnsi="Aptos"/>
          <w:color w:val="000000"/>
          <w:sz w:val="22"/>
          <w:szCs w:val="22"/>
        </w:rPr>
        <w:t>Please note, the final rollout plan will form a schedule within the contract and be finalised between both parties post-award.</w:t>
      </w:r>
    </w:p>
    <w:p w14:paraId="631520C4" w14:textId="77777777" w:rsidR="008F0023" w:rsidRDefault="008F0023" w:rsidP="008F0023">
      <w:pPr>
        <w:pStyle w:val="NormalWeb"/>
        <w:pBdr>
          <w:bottom w:val="single" w:sz="6" w:space="1" w:color="000000"/>
        </w:pBdr>
        <w:spacing w:before="0" w:beforeAutospacing="0" w:after="160" w:afterAutospacing="0"/>
      </w:pPr>
    </w:p>
    <w:p w14:paraId="3C96DDFD" w14:textId="77777777" w:rsidR="008F0023" w:rsidRDefault="008F0023" w:rsidP="008F0023">
      <w:pPr>
        <w:pStyle w:val="NormalWeb"/>
        <w:spacing w:before="0" w:beforeAutospacing="0" w:after="160" w:afterAutospacing="0"/>
      </w:pPr>
      <w:r>
        <w:rPr>
          <w:rFonts w:ascii="Aptos" w:hAnsi="Aptos"/>
          <w:b/>
          <w:bCs/>
          <w:color w:val="000000"/>
          <w:sz w:val="22"/>
          <w:szCs w:val="22"/>
          <w:u w:val="single"/>
        </w:rPr>
        <w:t>The different service lines and the dependencies between them</w:t>
      </w:r>
    </w:p>
    <w:p w14:paraId="02CF0423" w14:textId="77777777" w:rsidR="008F0023" w:rsidRDefault="008F0023" w:rsidP="008F0023">
      <w:pPr>
        <w:pStyle w:val="NormalWeb"/>
        <w:spacing w:before="0" w:beforeAutospacing="0" w:after="160" w:afterAutospacing="0"/>
      </w:pPr>
      <w:r>
        <w:rPr>
          <w:rFonts w:ascii="Aptos" w:hAnsi="Aptos"/>
          <w:color w:val="000000"/>
          <w:sz w:val="22"/>
          <w:szCs w:val="22"/>
          <w:shd w:val="clear" w:color="auto" w:fill="FFFF00"/>
        </w:rPr>
        <w:t>Lead Bidder to respond: Assume this relates to dependencies between meter supplier, lead bidder and installer</w:t>
      </w:r>
      <w:r>
        <w:rPr>
          <w:rFonts w:ascii="Aptos" w:hAnsi="Aptos"/>
          <w:color w:val="000000"/>
          <w:sz w:val="22"/>
          <w:szCs w:val="22"/>
        </w:rPr>
        <w:t>.</w:t>
      </w:r>
    </w:p>
    <w:p w14:paraId="5ADE624B" w14:textId="77777777" w:rsidR="008F0023" w:rsidRPr="00777A22" w:rsidRDefault="008F0023" w:rsidP="008F0023">
      <w:pPr>
        <w:pStyle w:val="NormalWeb"/>
        <w:spacing w:before="0" w:beforeAutospacing="0" w:after="160" w:afterAutospacing="0"/>
      </w:pPr>
      <w:r w:rsidRPr="00777A22">
        <w:rPr>
          <w:rFonts w:ascii="Aptos" w:hAnsi="Aptos"/>
          <w:color w:val="000000"/>
          <w:sz w:val="22"/>
          <w:szCs w:val="22"/>
          <w:u w:val="single"/>
        </w:rPr>
        <w:t>Gantt chart and timetable, covering up until the start date of the contract</w:t>
      </w:r>
    </w:p>
    <w:p w14:paraId="206DBE34" w14:textId="77777777" w:rsidR="008F0023" w:rsidRDefault="008F0023" w:rsidP="008F0023">
      <w:pPr>
        <w:pStyle w:val="NormalWeb"/>
        <w:spacing w:before="0" w:beforeAutospacing="0" w:after="160" w:afterAutospacing="0"/>
        <w:rPr>
          <w:rFonts w:ascii="Aptos" w:hAnsi="Aptos"/>
          <w:b/>
          <w:bCs/>
          <w:color w:val="000000"/>
          <w:sz w:val="22"/>
          <w:szCs w:val="22"/>
        </w:rPr>
      </w:pPr>
      <w:r w:rsidRPr="00777A22">
        <w:rPr>
          <w:rFonts w:ascii="Aptos" w:hAnsi="Aptos"/>
          <w:b/>
          <w:bCs/>
          <w:color w:val="000000"/>
          <w:sz w:val="22"/>
          <w:szCs w:val="22"/>
          <w:u w:val="single"/>
        </w:rPr>
        <w:t>Installation Overview</w:t>
      </w:r>
      <w:r w:rsidRPr="00777A22">
        <w:rPr>
          <w:rFonts w:ascii="Aptos" w:hAnsi="Aptos"/>
          <w:b/>
          <w:bCs/>
          <w:color w:val="000000"/>
          <w:sz w:val="22"/>
          <w:szCs w:val="22"/>
        </w:rPr>
        <w:t> </w:t>
      </w:r>
    </w:p>
    <w:p w14:paraId="2D268B09" w14:textId="72A616A6" w:rsidR="008F0023" w:rsidRPr="00777A22" w:rsidRDefault="00777A22" w:rsidP="00FB1FDE">
      <w:pPr>
        <w:pStyle w:val="NormalWeb"/>
        <w:spacing w:before="0" w:beforeAutospacing="0" w:after="160" w:afterAutospacing="0"/>
      </w:pPr>
      <w:r>
        <w:rPr>
          <w:rFonts w:ascii="Aptos" w:hAnsi="Aptos"/>
          <w:color w:val="000000"/>
          <w:sz w:val="22"/>
          <w:szCs w:val="22"/>
        </w:rPr>
        <w:t xml:space="preserve">Supporting gantt chart </w:t>
      </w:r>
      <w:r w:rsidR="00FB1FDE">
        <w:rPr>
          <w:rFonts w:ascii="Aptos" w:hAnsi="Aptos"/>
          <w:color w:val="000000"/>
          <w:sz w:val="22"/>
          <w:szCs w:val="22"/>
        </w:rPr>
        <w:t>supplied as an appendix</w:t>
      </w:r>
      <w:r w:rsidR="00986027">
        <w:rPr>
          <w:rFonts w:ascii="Aptos" w:hAnsi="Aptos"/>
          <w:color w:val="000000"/>
          <w:sz w:val="22"/>
          <w:szCs w:val="22"/>
        </w:rPr>
        <w:t>.</w:t>
      </w:r>
    </w:p>
    <w:p w14:paraId="3AB0B050" w14:textId="77777777" w:rsidR="008F0023" w:rsidRDefault="008F0023" w:rsidP="008F0023">
      <w:pPr>
        <w:pStyle w:val="NormalWeb"/>
        <w:spacing w:before="0" w:beforeAutospacing="0" w:after="160" w:afterAutospacing="0"/>
      </w:pPr>
      <w:r w:rsidRPr="00777A22">
        <w:rPr>
          <w:rFonts w:ascii="Aptos" w:hAnsi="Aptos"/>
          <w:color w:val="000000"/>
          <w:sz w:val="22"/>
          <w:szCs w:val="22"/>
        </w:rPr>
        <w:t>From a meter installation perspective, the mobilisation requirements can be broken into 5 categories:</w:t>
      </w:r>
    </w:p>
    <w:p w14:paraId="2768B0F3" w14:textId="77777777" w:rsidR="008F0023" w:rsidRDefault="008F0023" w:rsidP="008F0023">
      <w:pPr>
        <w:pStyle w:val="NormalWeb"/>
        <w:numPr>
          <w:ilvl w:val="0"/>
          <w:numId w:val="3"/>
        </w:numPr>
        <w:spacing w:before="0" w:beforeAutospacing="0" w:after="0" w:afterAutospacing="0"/>
        <w:textAlignment w:val="baseline"/>
        <w:rPr>
          <w:rFonts w:ascii="Aptos" w:hAnsi="Aptos"/>
          <w:color w:val="000000"/>
          <w:sz w:val="22"/>
          <w:szCs w:val="22"/>
        </w:rPr>
      </w:pPr>
      <w:r>
        <w:rPr>
          <w:rFonts w:ascii="Aptos" w:hAnsi="Aptos"/>
          <w:color w:val="000000"/>
          <w:sz w:val="22"/>
          <w:szCs w:val="22"/>
        </w:rPr>
        <w:t>Recruitment &amp; Resourcing</w:t>
      </w:r>
    </w:p>
    <w:p w14:paraId="7659237B" w14:textId="77777777" w:rsidR="008F0023" w:rsidRDefault="008F0023" w:rsidP="0094669E">
      <w:pPr>
        <w:pStyle w:val="NormalWeb"/>
        <w:numPr>
          <w:ilvl w:val="1"/>
          <w:numId w:val="4"/>
        </w:numPr>
        <w:spacing w:before="0" w:beforeAutospacing="0" w:after="0" w:afterAutospacing="0"/>
        <w:ind w:left="720"/>
        <w:textAlignment w:val="baseline"/>
        <w:rPr>
          <w:rFonts w:ascii="Aptos" w:hAnsi="Aptos"/>
          <w:color w:val="000000"/>
          <w:sz w:val="22"/>
          <w:szCs w:val="22"/>
        </w:rPr>
      </w:pPr>
      <w:r>
        <w:rPr>
          <w:rFonts w:ascii="Aptos" w:hAnsi="Aptos"/>
          <w:color w:val="000000"/>
          <w:sz w:val="22"/>
          <w:szCs w:val="22"/>
        </w:rPr>
        <w:t>Field Staff (Internal fitters, external ‘screw in’ operatives, dig teams)</w:t>
      </w:r>
    </w:p>
    <w:p w14:paraId="54B31148" w14:textId="77777777" w:rsidR="008F0023" w:rsidRDefault="008F0023" w:rsidP="0094669E">
      <w:pPr>
        <w:pStyle w:val="NormalWeb"/>
        <w:numPr>
          <w:ilvl w:val="1"/>
          <w:numId w:val="5"/>
        </w:numPr>
        <w:spacing w:before="0" w:beforeAutospacing="0" w:after="0" w:afterAutospacing="0"/>
        <w:ind w:left="720"/>
        <w:textAlignment w:val="baseline"/>
        <w:rPr>
          <w:rFonts w:ascii="Aptos" w:hAnsi="Aptos"/>
          <w:color w:val="000000"/>
          <w:sz w:val="22"/>
          <w:szCs w:val="22"/>
        </w:rPr>
      </w:pPr>
      <w:r>
        <w:rPr>
          <w:rFonts w:ascii="Aptos" w:hAnsi="Aptos"/>
          <w:color w:val="000000"/>
          <w:sz w:val="22"/>
          <w:szCs w:val="22"/>
        </w:rPr>
        <w:t>Operational Support Staff</w:t>
      </w:r>
    </w:p>
    <w:p w14:paraId="74AACAB3" w14:textId="77777777" w:rsidR="008F0023" w:rsidRDefault="008F0023" w:rsidP="0094669E">
      <w:pPr>
        <w:pStyle w:val="NormalWeb"/>
        <w:numPr>
          <w:ilvl w:val="1"/>
          <w:numId w:val="6"/>
        </w:numPr>
        <w:spacing w:before="0" w:beforeAutospacing="0" w:after="0" w:afterAutospacing="0"/>
        <w:ind w:left="720"/>
        <w:textAlignment w:val="baseline"/>
        <w:rPr>
          <w:rFonts w:ascii="Aptos" w:hAnsi="Aptos"/>
          <w:color w:val="000000"/>
          <w:sz w:val="22"/>
          <w:szCs w:val="22"/>
        </w:rPr>
      </w:pPr>
      <w:r>
        <w:rPr>
          <w:rFonts w:ascii="Aptos" w:hAnsi="Aptos"/>
          <w:color w:val="000000"/>
          <w:sz w:val="22"/>
          <w:szCs w:val="22"/>
        </w:rPr>
        <w:t>Management and ‘back office’</w:t>
      </w:r>
    </w:p>
    <w:p w14:paraId="572F232C" w14:textId="77777777" w:rsidR="008F0023" w:rsidRDefault="008F0023" w:rsidP="008F0023">
      <w:pPr>
        <w:pStyle w:val="NormalWeb"/>
        <w:numPr>
          <w:ilvl w:val="0"/>
          <w:numId w:val="3"/>
        </w:numPr>
        <w:spacing w:before="0" w:beforeAutospacing="0" w:after="0" w:afterAutospacing="0"/>
        <w:textAlignment w:val="baseline"/>
        <w:rPr>
          <w:rFonts w:ascii="Aptos" w:hAnsi="Aptos"/>
          <w:color w:val="000000"/>
          <w:sz w:val="22"/>
          <w:szCs w:val="22"/>
        </w:rPr>
      </w:pPr>
      <w:r>
        <w:rPr>
          <w:rFonts w:ascii="Aptos" w:hAnsi="Aptos"/>
          <w:color w:val="000000"/>
          <w:sz w:val="22"/>
          <w:szCs w:val="22"/>
        </w:rPr>
        <w:t>Logistics</w:t>
      </w:r>
    </w:p>
    <w:p w14:paraId="4665296C" w14:textId="77777777" w:rsidR="008F0023" w:rsidRDefault="008F0023" w:rsidP="008F0023">
      <w:pPr>
        <w:pStyle w:val="NormalWeb"/>
        <w:numPr>
          <w:ilvl w:val="0"/>
          <w:numId w:val="3"/>
        </w:numPr>
        <w:spacing w:before="0" w:beforeAutospacing="0" w:after="0" w:afterAutospacing="0"/>
        <w:textAlignment w:val="baseline"/>
        <w:rPr>
          <w:rFonts w:ascii="Aptos" w:hAnsi="Aptos"/>
          <w:color w:val="000000"/>
          <w:sz w:val="22"/>
          <w:szCs w:val="22"/>
        </w:rPr>
      </w:pPr>
      <w:r>
        <w:rPr>
          <w:rFonts w:ascii="Aptos" w:hAnsi="Aptos"/>
          <w:color w:val="000000"/>
          <w:sz w:val="22"/>
          <w:szCs w:val="22"/>
        </w:rPr>
        <w:t>Plant, Equipment &amp; Consumables</w:t>
      </w:r>
    </w:p>
    <w:p w14:paraId="31F2F74A" w14:textId="77777777" w:rsidR="008F0023" w:rsidRDefault="008F0023" w:rsidP="008F0023">
      <w:pPr>
        <w:pStyle w:val="NormalWeb"/>
        <w:numPr>
          <w:ilvl w:val="0"/>
          <w:numId w:val="3"/>
        </w:numPr>
        <w:spacing w:before="0" w:beforeAutospacing="0" w:after="0" w:afterAutospacing="0"/>
        <w:textAlignment w:val="baseline"/>
        <w:rPr>
          <w:rFonts w:ascii="Aptos" w:hAnsi="Aptos"/>
          <w:color w:val="000000"/>
          <w:sz w:val="22"/>
          <w:szCs w:val="22"/>
        </w:rPr>
      </w:pPr>
      <w:r>
        <w:rPr>
          <w:rFonts w:ascii="Aptos" w:hAnsi="Aptos"/>
          <w:color w:val="000000"/>
          <w:sz w:val="22"/>
          <w:szCs w:val="22"/>
        </w:rPr>
        <w:t>Vehicles</w:t>
      </w:r>
    </w:p>
    <w:p w14:paraId="5105B0AB" w14:textId="77777777" w:rsidR="008F0023" w:rsidRDefault="008F0023" w:rsidP="008F0023">
      <w:pPr>
        <w:pStyle w:val="NormalWeb"/>
        <w:numPr>
          <w:ilvl w:val="0"/>
          <w:numId w:val="3"/>
        </w:numPr>
        <w:spacing w:before="0" w:beforeAutospacing="0" w:after="160" w:afterAutospacing="0"/>
        <w:textAlignment w:val="baseline"/>
        <w:rPr>
          <w:rFonts w:ascii="Aptos" w:hAnsi="Aptos"/>
          <w:color w:val="000000"/>
          <w:sz w:val="22"/>
          <w:szCs w:val="22"/>
        </w:rPr>
      </w:pPr>
      <w:r>
        <w:rPr>
          <w:rFonts w:ascii="Aptos" w:hAnsi="Aptos"/>
          <w:color w:val="000000"/>
          <w:sz w:val="22"/>
          <w:szCs w:val="22"/>
        </w:rPr>
        <w:t>System</w:t>
      </w:r>
    </w:p>
    <w:p w14:paraId="62576157" w14:textId="77777777" w:rsidR="008F0023" w:rsidRDefault="008F0023" w:rsidP="008F0023">
      <w:pPr>
        <w:pStyle w:val="NormalWeb"/>
        <w:spacing w:before="0" w:beforeAutospacing="0" w:after="160" w:afterAutospacing="0"/>
      </w:pPr>
      <w:r>
        <w:rPr>
          <w:rFonts w:ascii="Aptos" w:hAnsi="Aptos"/>
          <w:color w:val="000000"/>
          <w:sz w:val="22"/>
          <w:szCs w:val="22"/>
          <w:u w:val="single"/>
        </w:rPr>
        <w:t>Recruitment &amp; Resourcing</w:t>
      </w:r>
    </w:p>
    <w:p w14:paraId="4D3E42E9" w14:textId="77777777" w:rsidR="008F0023" w:rsidRDefault="008F0023" w:rsidP="008F0023">
      <w:pPr>
        <w:pStyle w:val="NormalWeb"/>
        <w:spacing w:before="0" w:beforeAutospacing="0" w:after="160" w:afterAutospacing="0"/>
      </w:pPr>
      <w:r>
        <w:rPr>
          <w:rFonts w:ascii="Aptos" w:hAnsi="Aptos"/>
          <w:color w:val="000000"/>
          <w:sz w:val="22"/>
          <w:szCs w:val="22"/>
        </w:rPr>
        <w:t>At peak delivery volumes (years 2-4) there will be up to 231 FTE employed. The approach to staffing is as follows:</w:t>
      </w:r>
    </w:p>
    <w:p w14:paraId="6899CB98" w14:textId="77777777" w:rsidR="008F0023" w:rsidRDefault="008F0023" w:rsidP="008F002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ptos" w:hAnsi="Aptos" w:cs="Arial"/>
          <w:color w:val="000000"/>
          <w:sz w:val="22"/>
          <w:szCs w:val="22"/>
        </w:rPr>
        <w:t>Recruit a new management team either from the wider M Group or externally starting in September / October 2025 for senior appointments to allow adequate time for notice periods. </w:t>
      </w:r>
    </w:p>
    <w:p w14:paraId="6F247616" w14:textId="77777777" w:rsidR="008F0023" w:rsidRDefault="008F0023" w:rsidP="008F002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ptos" w:hAnsi="Aptos" w:cs="Arial"/>
          <w:color w:val="000000"/>
          <w:sz w:val="22"/>
          <w:szCs w:val="22"/>
        </w:rPr>
        <w:lastRenderedPageBreak/>
        <w:t>Staff both the remaining management team and back-office team via a combination of transfers of staff from existing contracts within M Group and externally, scheduled to start late 2024 and continuing Jan – Mar 2025 in preparation for an April 2025 start.</w:t>
      </w:r>
    </w:p>
    <w:p w14:paraId="64D30B19" w14:textId="42DEEF21" w:rsidR="008F0023" w:rsidRDefault="008F0023" w:rsidP="008F002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ptos" w:hAnsi="Aptos" w:cs="Arial"/>
          <w:color w:val="000000"/>
          <w:sz w:val="22"/>
          <w:szCs w:val="22"/>
        </w:rPr>
        <w:t>Share support services (and seed the new teams) with the larger WSA R&amp;M contract. This will drive efficiency where less tha</w:t>
      </w:r>
      <w:r w:rsidR="001A6C8D">
        <w:rPr>
          <w:rFonts w:ascii="Aptos" w:hAnsi="Aptos" w:cs="Arial"/>
          <w:color w:val="000000"/>
          <w:sz w:val="22"/>
          <w:szCs w:val="22"/>
        </w:rPr>
        <w:t>n</w:t>
      </w:r>
      <w:r>
        <w:rPr>
          <w:rFonts w:ascii="Aptos" w:hAnsi="Aptos" w:cs="Arial"/>
          <w:color w:val="000000"/>
          <w:sz w:val="22"/>
          <w:szCs w:val="22"/>
        </w:rPr>
        <w:t xml:space="preserve"> 1 FTE is required as a ‘standalone’ need to this framework and ensure continuity around introduction of MWS and YW processes into the new team.</w:t>
      </w:r>
    </w:p>
    <w:p w14:paraId="0F5DA782" w14:textId="77777777" w:rsidR="008F0023" w:rsidRDefault="008F0023" w:rsidP="008F002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ptos" w:hAnsi="Aptos" w:cs="Arial"/>
          <w:color w:val="000000"/>
          <w:sz w:val="22"/>
          <w:szCs w:val="22"/>
        </w:rPr>
        <w:t>Expand the existing experienced Thames Water customer management centre to provide call centre / customer services.</w:t>
      </w:r>
    </w:p>
    <w:p w14:paraId="16EFEF82" w14:textId="77777777" w:rsidR="008F0023" w:rsidRDefault="008F0023" w:rsidP="008F002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ptos" w:hAnsi="Aptos" w:cs="Arial"/>
          <w:color w:val="000000"/>
          <w:sz w:val="22"/>
          <w:szCs w:val="22"/>
        </w:rPr>
        <w:t>Engage with, and support, the existing subcontract plumbing services organisations to upscale the existing resource level. There are currently, on average 25 plumbers engaged on YW Direct Meter Option (DMO) and meter replacement activity. </w:t>
      </w:r>
    </w:p>
    <w:p w14:paraId="0DC41A6F" w14:textId="77777777" w:rsidR="008F0023" w:rsidRDefault="008F0023" w:rsidP="008F002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ptos" w:hAnsi="Aptos" w:cs="Arial"/>
          <w:color w:val="000000"/>
          <w:sz w:val="22"/>
          <w:szCs w:val="22"/>
        </w:rPr>
        <w:t>Recruit new directly employed ‘screw in’ installation staff to undertake external meter replacement activity.</w:t>
      </w:r>
    </w:p>
    <w:p w14:paraId="3736BD63" w14:textId="77777777" w:rsidR="008F0023" w:rsidRDefault="008F0023" w:rsidP="008F0023">
      <w:pPr>
        <w:pStyle w:val="NormalWeb"/>
        <w:numPr>
          <w:ilvl w:val="0"/>
          <w:numId w:val="7"/>
        </w:numPr>
        <w:spacing w:before="0" w:beforeAutospacing="0" w:after="160" w:afterAutospacing="0"/>
        <w:textAlignment w:val="baseline"/>
        <w:rPr>
          <w:rFonts w:ascii="Arial" w:hAnsi="Arial" w:cs="Arial"/>
          <w:color w:val="000000"/>
          <w:sz w:val="22"/>
          <w:szCs w:val="22"/>
        </w:rPr>
      </w:pPr>
      <w:r>
        <w:rPr>
          <w:rFonts w:ascii="Aptos" w:hAnsi="Aptos" w:cs="Arial"/>
          <w:color w:val="000000"/>
          <w:sz w:val="22"/>
          <w:szCs w:val="22"/>
        </w:rPr>
        <w:t>Absorb any external installation activity into the existing R&amp;M service via an internal order process to leverage the existing NRSWA capability within the YW area.</w:t>
      </w:r>
    </w:p>
    <w:p w14:paraId="4A0C471F" w14:textId="77777777" w:rsidR="008F0023" w:rsidRDefault="008F0023" w:rsidP="008F0023">
      <w:pPr>
        <w:pStyle w:val="NormalWeb"/>
        <w:spacing w:before="0" w:beforeAutospacing="0" w:after="160" w:afterAutospacing="0"/>
      </w:pPr>
      <w:r>
        <w:rPr>
          <w:rFonts w:ascii="Aptos" w:hAnsi="Aptos"/>
          <w:color w:val="000000"/>
          <w:sz w:val="22"/>
          <w:szCs w:val="22"/>
        </w:rPr>
        <w:t>This blended approach to upscaling comparable activity through the range of recruitment route, and the support that operating within the same footprint as a larger MWS contract provides, minimises the risks associated with a mobilisation on this scale.</w:t>
      </w:r>
    </w:p>
    <w:p w14:paraId="54114707" w14:textId="77777777" w:rsidR="008F0023" w:rsidRDefault="008F0023" w:rsidP="008F0023">
      <w:pPr>
        <w:pStyle w:val="NormalWeb"/>
        <w:spacing w:before="0" w:beforeAutospacing="0" w:after="160" w:afterAutospacing="0"/>
      </w:pPr>
      <w:r>
        <w:rPr>
          <w:rFonts w:ascii="Aptos" w:hAnsi="Aptos"/>
          <w:color w:val="000000"/>
          <w:sz w:val="22"/>
          <w:szCs w:val="22"/>
          <w:u w:val="single"/>
        </w:rPr>
        <w:t>Logistics</w:t>
      </w:r>
    </w:p>
    <w:p w14:paraId="35DEBE6C" w14:textId="77777777" w:rsidR="008F0023" w:rsidRDefault="008F0023" w:rsidP="008F0023">
      <w:pPr>
        <w:pStyle w:val="NormalWeb"/>
        <w:spacing w:before="0" w:beforeAutospacing="0" w:after="160" w:afterAutospacing="0"/>
      </w:pPr>
      <w:r>
        <w:rPr>
          <w:rFonts w:ascii="Aptos" w:hAnsi="Aptos"/>
          <w:color w:val="000000"/>
          <w:sz w:val="22"/>
          <w:szCs w:val="22"/>
        </w:rPr>
        <w:t>A new 3</w:t>
      </w:r>
      <w:r>
        <w:rPr>
          <w:rFonts w:ascii="Aptos" w:hAnsi="Aptos"/>
          <w:color w:val="000000"/>
          <w:sz w:val="13"/>
          <w:szCs w:val="13"/>
          <w:vertAlign w:val="superscript"/>
        </w:rPr>
        <w:t>rd</w:t>
      </w:r>
      <w:r>
        <w:rPr>
          <w:rFonts w:ascii="Aptos" w:hAnsi="Aptos"/>
          <w:color w:val="000000"/>
          <w:sz w:val="22"/>
          <w:szCs w:val="22"/>
        </w:rPr>
        <w:t xml:space="preserve"> party specialist logistics partner will be engaged to support the installation process. This will provide both the required 3 months’ strategic stock levels and a ‘just in time’ delivery service to drop boxes within the operating area(s), ensuring the most efficient delivery of the (majority) external screw in programme. This will be supplemented by the retention of additional stock at both MWS and plumbing subcontractor premises to service the internal and excavation required exchange sub programmes.</w:t>
      </w:r>
    </w:p>
    <w:p w14:paraId="3D3BF7C5" w14:textId="77777777" w:rsidR="008F0023" w:rsidRDefault="008F0023" w:rsidP="008F0023">
      <w:pPr>
        <w:pStyle w:val="NormalWeb"/>
        <w:spacing w:before="0" w:beforeAutospacing="0" w:after="160" w:afterAutospacing="0"/>
      </w:pPr>
      <w:r>
        <w:rPr>
          <w:rFonts w:ascii="Aptos" w:hAnsi="Aptos"/>
          <w:color w:val="000000"/>
          <w:sz w:val="22"/>
          <w:szCs w:val="22"/>
          <w:u w:val="single"/>
        </w:rPr>
        <w:t>Plant and equipment</w:t>
      </w:r>
    </w:p>
    <w:p w14:paraId="409D25CB" w14:textId="77777777" w:rsidR="008F0023" w:rsidRDefault="008F0023" w:rsidP="008F0023">
      <w:pPr>
        <w:pStyle w:val="NormalWeb"/>
        <w:spacing w:before="0" w:beforeAutospacing="0" w:after="160" w:afterAutospacing="0"/>
      </w:pPr>
      <w:r>
        <w:rPr>
          <w:rFonts w:ascii="Aptos" w:hAnsi="Aptos"/>
          <w:color w:val="000000"/>
          <w:sz w:val="22"/>
          <w:szCs w:val="22"/>
        </w:rPr>
        <w:t>The activity, specifically external meter replacement and plumbing, does not require plant and equipment beyond ‘off the shelf’ basic readily available tools or consumables.</w:t>
      </w:r>
    </w:p>
    <w:p w14:paraId="67BFC5CB" w14:textId="77777777" w:rsidR="008F0023" w:rsidRDefault="008F0023" w:rsidP="008F0023">
      <w:pPr>
        <w:pStyle w:val="NormalWeb"/>
        <w:spacing w:before="0" w:beforeAutospacing="0" w:after="160" w:afterAutospacing="0"/>
      </w:pPr>
      <w:r>
        <w:rPr>
          <w:rFonts w:ascii="Aptos" w:hAnsi="Aptos"/>
          <w:color w:val="000000"/>
          <w:sz w:val="22"/>
          <w:szCs w:val="22"/>
        </w:rPr>
        <w:t>The volume of work requiring excavation is circa 25,000 which is around 10% of the volume undertaken within WSP (lots 2 &amp; 4). It is within the tolerances of the workload variations that the current MWS WSP agreement already manages via directly employed dig teams and a network of circa 40 subcontract arrangements.</w:t>
      </w:r>
    </w:p>
    <w:p w14:paraId="4313EFE9" w14:textId="77777777" w:rsidR="008F0023" w:rsidRDefault="008F0023" w:rsidP="008F0023">
      <w:pPr>
        <w:pStyle w:val="NormalWeb"/>
        <w:spacing w:before="0" w:beforeAutospacing="0" w:after="160" w:afterAutospacing="0"/>
      </w:pPr>
      <w:r>
        <w:rPr>
          <w:rFonts w:ascii="Aptos" w:hAnsi="Aptos"/>
          <w:color w:val="000000"/>
          <w:sz w:val="22"/>
          <w:szCs w:val="22"/>
          <w:u w:val="single"/>
        </w:rPr>
        <w:t>Vehicles</w:t>
      </w:r>
    </w:p>
    <w:p w14:paraId="6EE79E73" w14:textId="77777777" w:rsidR="008F0023" w:rsidRDefault="008F0023" w:rsidP="008F0023">
      <w:pPr>
        <w:pStyle w:val="NormalWeb"/>
        <w:spacing w:before="0" w:beforeAutospacing="0" w:after="160" w:afterAutospacing="0"/>
      </w:pPr>
      <w:r>
        <w:rPr>
          <w:rFonts w:ascii="Aptos" w:hAnsi="Aptos"/>
          <w:color w:val="000000"/>
          <w:sz w:val="22"/>
          <w:szCs w:val="22"/>
        </w:rPr>
        <w:t>Early engagement with M Group fleet services has not identified any issues around the sourcing of the required circa 40 vehicles required during the peak installation period.</w:t>
      </w:r>
    </w:p>
    <w:p w14:paraId="46B695B1" w14:textId="77777777" w:rsidR="008F0023" w:rsidRDefault="008F0023" w:rsidP="008F0023">
      <w:pPr>
        <w:pStyle w:val="NormalWeb"/>
        <w:spacing w:before="0" w:beforeAutospacing="0" w:after="160" w:afterAutospacing="0"/>
      </w:pPr>
      <w:r>
        <w:rPr>
          <w:rFonts w:ascii="Aptos" w:hAnsi="Aptos"/>
          <w:color w:val="000000"/>
          <w:sz w:val="22"/>
          <w:szCs w:val="22"/>
          <w:u w:val="single"/>
        </w:rPr>
        <w:t>Systems integration</w:t>
      </w:r>
    </w:p>
    <w:p w14:paraId="31F88DD7" w14:textId="3AB4D5B8" w:rsidR="00F7060C" w:rsidRDefault="008F0023" w:rsidP="00777A22">
      <w:pPr>
        <w:pStyle w:val="NormalWeb"/>
        <w:spacing w:before="0" w:beforeAutospacing="0" w:after="160" w:afterAutospacing="0"/>
      </w:pPr>
      <w:r>
        <w:rPr>
          <w:rFonts w:ascii="Aptos" w:hAnsi="Aptos"/>
          <w:color w:val="000000"/>
          <w:sz w:val="22"/>
          <w:szCs w:val="22"/>
          <w:shd w:val="clear" w:color="auto" w:fill="FFFF00"/>
        </w:rPr>
        <w:t>TBC</w:t>
      </w:r>
    </w:p>
    <w:sectPr w:rsidR="00F70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E157A"/>
    <w:multiLevelType w:val="hybridMultilevel"/>
    <w:tmpl w:val="3E8289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50884"/>
    <w:multiLevelType w:val="hybridMultilevel"/>
    <w:tmpl w:val="9CD41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521A49"/>
    <w:multiLevelType w:val="multilevel"/>
    <w:tmpl w:val="313C3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A46B26"/>
    <w:multiLevelType w:val="multilevel"/>
    <w:tmpl w:val="B39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29985">
    <w:abstractNumId w:val="0"/>
  </w:num>
  <w:num w:numId="2" w16cid:durableId="1634673740">
    <w:abstractNumId w:val="1"/>
  </w:num>
  <w:num w:numId="3" w16cid:durableId="2037539794">
    <w:abstractNumId w:val="2"/>
  </w:num>
  <w:num w:numId="4" w16cid:durableId="1473936815">
    <w:abstractNumId w:val="2"/>
    <w:lvlOverride w:ilvl="1">
      <w:lvl w:ilvl="1">
        <w:numFmt w:val="lowerLetter"/>
        <w:lvlText w:val="%2."/>
        <w:lvlJc w:val="left"/>
      </w:lvl>
    </w:lvlOverride>
  </w:num>
  <w:num w:numId="5" w16cid:durableId="1408764020">
    <w:abstractNumId w:val="2"/>
    <w:lvlOverride w:ilvl="1">
      <w:lvl w:ilvl="1">
        <w:numFmt w:val="lowerLetter"/>
        <w:lvlText w:val="%2."/>
        <w:lvlJc w:val="left"/>
      </w:lvl>
    </w:lvlOverride>
  </w:num>
  <w:num w:numId="6" w16cid:durableId="1647006375">
    <w:abstractNumId w:val="2"/>
    <w:lvlOverride w:ilvl="1">
      <w:lvl w:ilvl="1">
        <w:numFmt w:val="lowerLetter"/>
        <w:lvlText w:val="%2."/>
        <w:lvlJc w:val="left"/>
      </w:lvl>
    </w:lvlOverride>
  </w:num>
  <w:num w:numId="7" w16cid:durableId="70272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3D"/>
    <w:rsid w:val="0002619C"/>
    <w:rsid w:val="000C7146"/>
    <w:rsid w:val="0013083C"/>
    <w:rsid w:val="00133D42"/>
    <w:rsid w:val="00177881"/>
    <w:rsid w:val="001A6C8D"/>
    <w:rsid w:val="001B1084"/>
    <w:rsid w:val="001C20F7"/>
    <w:rsid w:val="001D3A44"/>
    <w:rsid w:val="001F29BB"/>
    <w:rsid w:val="00231D35"/>
    <w:rsid w:val="002419D5"/>
    <w:rsid w:val="002613BE"/>
    <w:rsid w:val="00391EA6"/>
    <w:rsid w:val="003A20BA"/>
    <w:rsid w:val="003A36CA"/>
    <w:rsid w:val="003A7ED9"/>
    <w:rsid w:val="003B1A4B"/>
    <w:rsid w:val="00421375"/>
    <w:rsid w:val="004215F9"/>
    <w:rsid w:val="00452834"/>
    <w:rsid w:val="00452F5A"/>
    <w:rsid w:val="00460355"/>
    <w:rsid w:val="00480717"/>
    <w:rsid w:val="004916AC"/>
    <w:rsid w:val="00506598"/>
    <w:rsid w:val="00514549"/>
    <w:rsid w:val="00575A48"/>
    <w:rsid w:val="00582844"/>
    <w:rsid w:val="005E03F7"/>
    <w:rsid w:val="006025F5"/>
    <w:rsid w:val="00622256"/>
    <w:rsid w:val="00654C13"/>
    <w:rsid w:val="00681C9F"/>
    <w:rsid w:val="006A2C5E"/>
    <w:rsid w:val="006C6289"/>
    <w:rsid w:val="007409F8"/>
    <w:rsid w:val="00777A22"/>
    <w:rsid w:val="007D2604"/>
    <w:rsid w:val="007E7ACE"/>
    <w:rsid w:val="007F4FB7"/>
    <w:rsid w:val="0086181C"/>
    <w:rsid w:val="008A60C1"/>
    <w:rsid w:val="008B0BE6"/>
    <w:rsid w:val="008C47AB"/>
    <w:rsid w:val="008D1192"/>
    <w:rsid w:val="008E033D"/>
    <w:rsid w:val="008F0023"/>
    <w:rsid w:val="00900589"/>
    <w:rsid w:val="009132E4"/>
    <w:rsid w:val="00925DBF"/>
    <w:rsid w:val="0094669E"/>
    <w:rsid w:val="00947DC2"/>
    <w:rsid w:val="009663FC"/>
    <w:rsid w:val="009777DF"/>
    <w:rsid w:val="00986027"/>
    <w:rsid w:val="009A1E07"/>
    <w:rsid w:val="009A5B51"/>
    <w:rsid w:val="009A6E3D"/>
    <w:rsid w:val="009B1545"/>
    <w:rsid w:val="00A23E05"/>
    <w:rsid w:val="00A35344"/>
    <w:rsid w:val="00A41209"/>
    <w:rsid w:val="00A47D2F"/>
    <w:rsid w:val="00A51070"/>
    <w:rsid w:val="00A51C98"/>
    <w:rsid w:val="00A6358C"/>
    <w:rsid w:val="00A675E2"/>
    <w:rsid w:val="00A83707"/>
    <w:rsid w:val="00AB2B2B"/>
    <w:rsid w:val="00AC1B5C"/>
    <w:rsid w:val="00AE6640"/>
    <w:rsid w:val="00B130D4"/>
    <w:rsid w:val="00B17E97"/>
    <w:rsid w:val="00B63E33"/>
    <w:rsid w:val="00B80253"/>
    <w:rsid w:val="00B935C1"/>
    <w:rsid w:val="00BB7FD8"/>
    <w:rsid w:val="00C04274"/>
    <w:rsid w:val="00C2296D"/>
    <w:rsid w:val="00C67E17"/>
    <w:rsid w:val="00C7175E"/>
    <w:rsid w:val="00CA3603"/>
    <w:rsid w:val="00CD52A2"/>
    <w:rsid w:val="00CE4C7A"/>
    <w:rsid w:val="00D26821"/>
    <w:rsid w:val="00D33C20"/>
    <w:rsid w:val="00D676B9"/>
    <w:rsid w:val="00D8350A"/>
    <w:rsid w:val="00D87297"/>
    <w:rsid w:val="00E57FF7"/>
    <w:rsid w:val="00E75F4C"/>
    <w:rsid w:val="00E7766E"/>
    <w:rsid w:val="00EB1E32"/>
    <w:rsid w:val="00ED2F80"/>
    <w:rsid w:val="00EE3690"/>
    <w:rsid w:val="00EE43B6"/>
    <w:rsid w:val="00F17B2B"/>
    <w:rsid w:val="00F25A46"/>
    <w:rsid w:val="00F7060C"/>
    <w:rsid w:val="00F86596"/>
    <w:rsid w:val="00FB1FDE"/>
    <w:rsid w:val="00FC51F1"/>
    <w:rsid w:val="00FE3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7683"/>
  <w15:chartTrackingRefBased/>
  <w15:docId w15:val="{26AAB892-9AE4-4025-BE8D-97F317E4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E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E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E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E3D"/>
    <w:rPr>
      <w:rFonts w:eastAsiaTheme="majorEastAsia" w:cstheme="majorBidi"/>
      <w:color w:val="272727" w:themeColor="text1" w:themeTint="D8"/>
    </w:rPr>
  </w:style>
  <w:style w:type="paragraph" w:styleId="Title">
    <w:name w:val="Title"/>
    <w:basedOn w:val="Normal"/>
    <w:next w:val="Normal"/>
    <w:link w:val="TitleChar"/>
    <w:uiPriority w:val="10"/>
    <w:qFormat/>
    <w:rsid w:val="009A6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E3D"/>
    <w:pPr>
      <w:spacing w:before="160"/>
      <w:jc w:val="center"/>
    </w:pPr>
    <w:rPr>
      <w:i/>
      <w:iCs/>
      <w:color w:val="404040" w:themeColor="text1" w:themeTint="BF"/>
    </w:rPr>
  </w:style>
  <w:style w:type="character" w:customStyle="1" w:styleId="QuoteChar">
    <w:name w:val="Quote Char"/>
    <w:basedOn w:val="DefaultParagraphFont"/>
    <w:link w:val="Quote"/>
    <w:uiPriority w:val="29"/>
    <w:rsid w:val="009A6E3D"/>
    <w:rPr>
      <w:i/>
      <w:iCs/>
      <w:color w:val="404040" w:themeColor="text1" w:themeTint="BF"/>
    </w:rPr>
  </w:style>
  <w:style w:type="paragraph" w:styleId="ListParagraph">
    <w:name w:val="List Paragraph"/>
    <w:basedOn w:val="Normal"/>
    <w:uiPriority w:val="34"/>
    <w:qFormat/>
    <w:rsid w:val="009A6E3D"/>
    <w:pPr>
      <w:ind w:left="720"/>
      <w:contextualSpacing/>
    </w:pPr>
  </w:style>
  <w:style w:type="character" w:styleId="IntenseEmphasis">
    <w:name w:val="Intense Emphasis"/>
    <w:basedOn w:val="DefaultParagraphFont"/>
    <w:uiPriority w:val="21"/>
    <w:qFormat/>
    <w:rsid w:val="009A6E3D"/>
    <w:rPr>
      <w:i/>
      <w:iCs/>
      <w:color w:val="0F4761" w:themeColor="accent1" w:themeShade="BF"/>
    </w:rPr>
  </w:style>
  <w:style w:type="paragraph" w:styleId="IntenseQuote">
    <w:name w:val="Intense Quote"/>
    <w:basedOn w:val="Normal"/>
    <w:next w:val="Normal"/>
    <w:link w:val="IntenseQuoteChar"/>
    <w:uiPriority w:val="30"/>
    <w:qFormat/>
    <w:rsid w:val="009A6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E3D"/>
    <w:rPr>
      <w:i/>
      <w:iCs/>
      <w:color w:val="0F4761" w:themeColor="accent1" w:themeShade="BF"/>
    </w:rPr>
  </w:style>
  <w:style w:type="character" w:styleId="IntenseReference">
    <w:name w:val="Intense Reference"/>
    <w:basedOn w:val="DefaultParagraphFont"/>
    <w:uiPriority w:val="32"/>
    <w:qFormat/>
    <w:rsid w:val="009A6E3D"/>
    <w:rPr>
      <w:b/>
      <w:bCs/>
      <w:smallCaps/>
      <w:color w:val="0F4761" w:themeColor="accent1" w:themeShade="BF"/>
      <w:spacing w:val="5"/>
    </w:rPr>
  </w:style>
  <w:style w:type="paragraph" w:styleId="NormalWeb">
    <w:name w:val="Normal (Web)"/>
    <w:basedOn w:val="Normal"/>
    <w:uiPriority w:val="99"/>
    <w:unhideWhenUsed/>
    <w:rsid w:val="008F002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5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AA4E96C8A2734C8B27921F099E6E1E" ma:contentTypeVersion="15" ma:contentTypeDescription="Create a new document." ma:contentTypeScope="" ma:versionID="d191c7aab3356d1c8324d8394146616b">
  <xsd:schema xmlns:xsd="http://www.w3.org/2001/XMLSchema" xmlns:xs="http://www.w3.org/2001/XMLSchema" xmlns:p="http://schemas.microsoft.com/office/2006/metadata/properties" xmlns:ns2="eab81268-3d7e-485e-8ad9-a7cd21ca6437" xmlns:ns3="21f255fc-6472-49dc-a997-677b8d9fba3d" targetNamespace="http://schemas.microsoft.com/office/2006/metadata/properties" ma:root="true" ma:fieldsID="9094d0f67ebc1ee88381c1681fb21f68" ns2:_="" ns3:_="">
    <xsd:import namespace="eab81268-3d7e-485e-8ad9-a7cd21ca6437"/>
    <xsd:import namespace="21f255fc-6472-49dc-a997-677b8d9fba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81268-3d7e-485e-8ad9-a7cd21ca6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0c0d76-0945-49d4-b602-1f24bc89399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255fc-6472-49dc-a997-677b8d9fba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a3421d-3b1b-4f93-af6a-a03da548ed6f}" ma:internalName="TaxCatchAll" ma:showField="CatchAllData" ma:web="21f255fc-6472-49dc-a997-677b8d9fba3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ab81268-3d7e-485e-8ad9-a7cd21ca6437">
      <Terms xmlns="http://schemas.microsoft.com/office/infopath/2007/PartnerControls"/>
    </lcf76f155ced4ddcb4097134ff3c332f>
    <TaxCatchAll xmlns="21f255fc-6472-49dc-a997-677b8d9fba3d" xsi:nil="true"/>
    <SharedWithUsers xmlns="21f255fc-6472-49dc-a997-677b8d9fba3d">
      <UserInfo>
        <DisplayName/>
        <AccountId xsi:nil="true"/>
        <AccountType/>
      </UserInfo>
    </SharedWithUsers>
    <MediaLengthInSeconds xmlns="eab81268-3d7e-485e-8ad9-a7cd21ca6437" xsi:nil="true"/>
  </documentManagement>
</p:properties>
</file>

<file path=customXml/itemProps1.xml><?xml version="1.0" encoding="utf-8"?>
<ds:datastoreItem xmlns:ds="http://schemas.openxmlformats.org/officeDocument/2006/customXml" ds:itemID="{067378BB-D48B-48C0-B123-4F1AF227E901}"/>
</file>

<file path=customXml/itemProps2.xml><?xml version="1.0" encoding="utf-8"?>
<ds:datastoreItem xmlns:ds="http://schemas.openxmlformats.org/officeDocument/2006/customXml" ds:itemID="{4F226E37-2FE4-42B0-AAB3-CD870D537E2E}"/>
</file>

<file path=customXml/itemProps3.xml><?xml version="1.0" encoding="utf-8"?>
<ds:datastoreItem xmlns:ds="http://schemas.openxmlformats.org/officeDocument/2006/customXml" ds:itemID="{379EC5FA-7A0D-47AD-A2E9-D80BD93F2F77}"/>
</file>

<file path=docProps/app.xml><?xml version="1.0" encoding="utf-8"?>
<Properties xmlns="http://schemas.openxmlformats.org/officeDocument/2006/extended-properties" xmlns:vt="http://schemas.openxmlformats.org/officeDocument/2006/docPropsVTypes">
  <Template>Normal</Template>
  <TotalTime>4</TotalTime>
  <Pages>2</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Booth</dc:creator>
  <cp:keywords/>
  <dc:description/>
  <cp:lastModifiedBy>Gary Booth</cp:lastModifiedBy>
  <cp:revision>7</cp:revision>
  <dcterms:created xsi:type="dcterms:W3CDTF">2024-03-26T15:08:00Z</dcterms:created>
  <dcterms:modified xsi:type="dcterms:W3CDTF">2024-03-26T15:11:00Z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0x0101005AAA4E96C8A2734C8B27921F099E6E1E</vt:lpwstr>
  </property>
  <property fmtid="{D5CDD505-2E9C-101B-9397-08002B2CF9AE}" pid="3" name="Order">
    <vt:r8>157700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