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w:t>
            </w:r>
            <w:r>
              <w:rPr>
                <w:rFonts w:ascii="Times New Roman" w:hAnsi="Times New Roman" w:eastAsia="Courier New" w:cs="Times New Roman"/>
                <w:color w:val="000000"/>
                <w:sz w:val="24"/>
                <w:szCs w:val="24"/>
                <w:lang w:val="it-IT"/>
              </w:rPr>
            </w:r>
            <w:r/>
          </w:p>
        </w:tc>
      </w:tr>
    </w:tbl>
    <w:p>
      <w:pPr>
        <w:rPr>
          <w:rFonts w:hint="default"/>
          <w:sz w:val="24"/>
          <w:szCs w:val="24"/>
          <w:lang w:val="it-IT"/>
        </w:rPr>
      </w:pPr>
      <w:r>
        <w:rPr>
          <w:rFonts w:hint="default"/>
          <w:sz w:val="24"/>
          <w:lang w:val="it-IT"/>
        </w:rPr>
      </w:r>
      <w:r>
        <w:rPr>
          <w:rFonts w:hint="default"/>
          <w:sz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lang w:val="it-IT"/>
        </w:rPr>
      </w:r>
      <w:r/>
    </w:p>
    <w:p>
      <w:pPr>
        <w:pStyle w:val="881"/>
        <w:rPr>
          <w:rFonts w:hint="default"/>
          <w:sz w:val="22"/>
          <w:lang w:val="it-IT"/>
        </w:rPr>
      </w:pPr>
      <w:r>
        <w:rPr>
          <w:rFonts w:hint="default"/>
          <w:sz w:val="22"/>
          <w:lang w:val="it-IT"/>
        </w:rPr>
        <w:t xml:space="preserve">Completare la progettazione concettuale riportando nella tabella seguente il dizionario dei dati</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p>
      <w:pPr>
        <w:pStyle w:val="881"/>
        <w:rPr>
          <w:rFonts w:hint="default"/>
          <w:sz w:val="22"/>
          <w:lang w:val="it-IT"/>
        </w:rPr>
      </w:pPr>
      <w:r>
        <w:rPr>
          <w:rFonts w:hint="default"/>
          <w:sz w:val="22"/>
          <w:lang w:val="it-IT"/>
        </w:rPr>
        <w:t xml:space="preserve">Questa sezione serve ad illustrare qual è il carico che la base di dati dovrà sopportare. A tal fine</w:t>
      </w:r>
      <w:r>
        <w:rPr>
          <w:rFonts w:hint="default"/>
          <w:sz w:val="22"/>
          <w:lang w:val="it-IT"/>
        </w:rPr>
        <w:t xml:space="preserve">, è necessario prevedere un volume di dati attesi. Compilare la tabella sottostante, per ciasun concetto identificato nello schema E-R. I volumi devono essere stimati dallo studente in maniera ragionevole rispetto all’operatività presunta dell’applicativo.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lang w:val="it-IT"/>
        </w:rPr>
      </w:r>
      <w:r/>
    </w:p>
    <w:p>
      <w:pPr>
        <w:pStyle w:val="881"/>
        <w:rPr>
          <w:rFonts w:hint="default"/>
          <w:sz w:val="22"/>
          <w:lang w:val="it-IT"/>
        </w:rPr>
      </w:pPr>
      <w:r>
        <w:rPr>
          <w:rFonts w:hint="default"/>
          <w:sz w:val="22"/>
          <w:lang w:val="it-IT"/>
        </w:rPr>
        <w:t xml:space="preserve">Rappresentare nella tabella sottostante tutte le operazioni sulla base di dati che devono essere supportate dall’applicazione, con la frequenza attesa. Le operazioni da supportare devono essere desunte dalle specifiche raccolte.</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r>
            <w:r>
              <w:rPr>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6</cp:revision>
  <dcterms:created xsi:type="dcterms:W3CDTF">2018-10-27T06:51:00Z</dcterms:created>
  <dcterms:modified xsi:type="dcterms:W3CDTF">2022-12-12T15:13:20Z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