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10-02-2017 (Friday)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23</w:t>
              <w:br/>
              <w:br/>
              <w:br/>
              <w:t xml:space="preserve">Date : </w:t>
              <w:tab/>
              <w:t>10-02-2017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47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Rate per sheet</w:t>
            </w:r>
          </w:p>
        </w:tc>
        <w:tc>
          <w:tcPr>
            <w:tcW w:w="13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Qty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Amount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47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13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4700"/>
          </w:tcPr>
          <w:p>
            <w:r>
              <w:t>1 (1)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13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Rs. 1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4700"/>
            <w:tcBorders>
              <w:top w:val="single"/>
              <w:bottom w:val="single"/>
            </w:tcBorders>
          </w:tcPr>
          <w:p/>
        </w:tc>
        <w:tc>
          <w:tcPr>
            <w:tcW w:w="2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3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Rs. 1.00</w:t>
            </w:r>
          </w:p>
        </w:tc>
      </w:tr>
    </w:tbl>
    <w:p>
      <w:r>
        <w:br/>
        <w:br/>
        <w:br/>
        <w:t>Amount (In words) :</w:t>
      </w:r>
    </w:p>
    <w:p>
      <w:r>
        <w:rPr>
          <w:b w:val="true"/>
        </w:rPr>
        <w:t>One Rupees Only</w:t>
      </w:r>
    </w:p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2017-03-10T08:32:17Z</dcterms:created>
  <dc:creator>Apache POI</dc:creator>
</cp:coreProperties>
</file>