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2"/>
        </w:rPr>
        <w:br/>
        <w:br/>
        <w:br/>
      </w:r>
    </w:p>
    <w:p>
      <w:pPr>
        <w:jc w:val="center"/>
      </w:pPr>
      <w:r>
        <w:rPr>
          <w:b/>
          <w:color w:val="64748B"/>
          <w:sz w:val="22"/>
        </w:rPr>
        <w:t>MG MOTOR INDIA</w:t>
      </w:r>
    </w:p>
    <w:p>
      <w:pPr>
        <w:jc w:val="center"/>
      </w:pPr>
      <w:r>
        <w:rPr>
          <w:b/>
          <w:color w:val="1E5799"/>
          <w:sz w:val="26"/>
        </w:rPr>
        <w:t>AutoPredict — Predictive Maintenance Platform</w:t>
      </w:r>
    </w:p>
    <w:p/>
    <w:p/>
    <w:p>
      <w:pPr>
        <w:jc w:val="center"/>
      </w:pPr>
      <w:r>
        <w:rPr>
          <w:b/>
          <w:color w:val="0F2044"/>
          <w:sz w:val="56"/>
        </w:rPr>
        <w:t>Technical Architecture Document</w:t>
      </w:r>
    </w:p>
    <w:p/>
    <w:p>
      <w:pPr>
        <w:jc w:val="center"/>
      </w:pPr>
      <w:r>
        <w:rPr>
          <w:i/>
          <w:color w:val="64748B"/>
          <w:sz w:val="28"/>
        </w:rPr>
        <w:t>System design, technology stack, and architectural decisions</w:t>
      </w:r>
    </w:p>
    <w:p/>
    <w:p/>
    <w:p/>
    <w:p/>
    <w:p>
      <w:pPr>
        <w:jc w:val="center"/>
      </w:pPr>
      <w:r>
        <w:rPr>
          <w:b/>
          <w:color w:val="0F2044"/>
          <w:sz w:val="20"/>
        </w:rPr>
        <w:t xml:space="preserve">Version:  </w:t>
      </w:r>
      <w:r>
        <w:rPr>
          <w:color w:val="64748B"/>
          <w:sz w:val="20"/>
        </w:rPr>
        <w:t>v1.0</w:t>
      </w:r>
    </w:p>
    <w:p>
      <w:pPr>
        <w:jc w:val="center"/>
      </w:pPr>
      <w:r>
        <w:rPr>
          <w:b/>
          <w:color w:val="0F2044"/>
          <w:sz w:val="20"/>
        </w:rPr>
        <w:t xml:space="preserve">Date:  </w:t>
      </w:r>
      <w:r>
        <w:rPr>
          <w:color w:val="64748B"/>
          <w:sz w:val="20"/>
        </w:rPr>
        <w:t>July 2025</w:t>
      </w:r>
    </w:p>
    <w:p>
      <w:pPr>
        <w:jc w:val="center"/>
      </w:pPr>
      <w:r>
        <w:rPr>
          <w:b/>
          <w:color w:val="0F2044"/>
          <w:sz w:val="20"/>
        </w:rPr>
        <w:t xml:space="preserve">Status:  </w:t>
      </w:r>
      <w:r>
        <w:rPr>
          <w:color w:val="64748B"/>
          <w:sz w:val="20"/>
        </w:rPr>
        <w:t>Confidential — Internal Use</w:t>
      </w:r>
    </w:p>
    <w:p>
      <w:pPr>
        <w:jc w:val="center"/>
      </w:pPr>
      <w:r>
        <w:rPr>
          <w:b/>
          <w:color w:val="0F2044"/>
          <w:sz w:val="20"/>
        </w:rPr>
        <w:t xml:space="preserve">Platform:  </w:t>
      </w:r>
      <w:r>
        <w:rPr>
          <w:color w:val="64748B"/>
          <w:sz w:val="20"/>
        </w:rPr>
        <w:t>AutoPredict v2.0</w:t>
      </w:r>
    </w:p>
    <w:p>
      <w:r>
        <w:br w:type="page"/>
      </w:r>
    </w:p>
    <w:p>
      <w:pPr>
        <w:pStyle w:val="Heading1"/>
        <w:jc w:val="left"/>
      </w:pPr>
      <w:r>
        <w:rPr>
          <w:color w:val="0F2044"/>
        </w:rPr>
        <w:t>1. Executive Summary</w:t>
      </w:r>
    </w:p>
    <w:p>
      <w:pPr>
        <w:jc w:val="both"/>
      </w:pPr>
      <w:r>
        <w:rPr>
          <w:color w:val="1A202C"/>
          <w:sz w:val="21"/>
        </w:rPr>
        <w:t>AutoPredict is a full-stack predictive maintenance platform built for MG Motor India. It processes vehicle telemetry from TBox ECUs in real time, applies LightGBM machine learning models to predict component failures up to 30 days in advance, and surfaces actionable maintenance alerts through a React-based dealer portal. The platform is designed for offline-first operation using CSV data stores, enabling deployment in environments with limited connectivity.</w:t>
      </w:r>
    </w:p>
    <w:p>
      <w:pPr>
        <w:pStyle w:val="Heading1"/>
        <w:jc w:val="left"/>
      </w:pPr>
      <w:r>
        <w:rPr>
          <w:color w:val="0F2044"/>
        </w:rPr>
        <w:t>2. System Architecture Overview</w:t>
      </w:r>
    </w:p>
    <w:p>
      <w:pPr>
        <w:jc w:val="both"/>
      </w:pPr>
      <w:r>
        <w:rPr>
          <w:color w:val="1A202C"/>
          <w:sz w:val="21"/>
        </w:rPr>
        <w:t>The system is organised into five distinct layers, each with a clear responsibility boundary:</w:t>
      </w:r>
    </w:p>
    <w:p>
      <w:pPr>
        <w:jc w:val="center"/>
      </w:pPr>
      <w:r>
        <w:drawing>
          <wp:inline xmlns:a="http://schemas.openxmlformats.org/drawingml/2006/main" xmlns:pic="http://schemas.openxmlformats.org/drawingml/2006/picture">
            <wp:extent cx="5943600" cy="3974978"/>
            <wp:docPr id="1" name="Picture 1"/>
            <wp:cNvGraphicFramePr>
              <a:graphicFrameLocks noChangeAspect="1"/>
            </wp:cNvGraphicFramePr>
            <a:graphic>
              <a:graphicData uri="http://schemas.openxmlformats.org/drawingml/2006/picture">
                <pic:pic>
                  <pic:nvPicPr>
                    <pic:cNvPr id="0" name="diag_01_system_arch.png"/>
                    <pic:cNvPicPr/>
                  </pic:nvPicPr>
                  <pic:blipFill>
                    <a:blip r:embed="rId9"/>
                    <a:stretch>
                      <a:fillRect/>
                    </a:stretch>
                  </pic:blipFill>
                  <pic:spPr>
                    <a:xfrm>
                      <a:off x="0" y="0"/>
                      <a:ext cx="5943600" cy="3974978"/>
                    </a:xfrm>
                    <a:prstGeom prst="rect"/>
                  </pic:spPr>
                </pic:pic>
              </a:graphicData>
            </a:graphic>
          </wp:inline>
        </w:drawing>
      </w:r>
    </w:p>
    <w:p>
      <w:pPr>
        <w:jc w:val="center"/>
      </w:pPr>
      <w:r>
        <w:rPr>
          <w:i/>
          <w:color w:val="64748B"/>
          <w:sz w:val="18"/>
        </w:rPr>
        <w:t>Figure 1 — Five-layer system architecture of AutoPredict</w:t>
      </w:r>
    </w:p>
    <w:p>
      <w:r>
        <w:rPr>
          <w:b/>
          <w:color w:val="0F2044"/>
          <w:sz w:val="21"/>
        </w:rPr>
        <w:t xml:space="preserve">Layer 1 — Vehicle / Edge: </w:t>
      </w:r>
      <w:r>
        <w:rPr>
          <w:sz w:val="21"/>
        </w:rPr>
        <w:t>MG vehicles equipped with TBox ECUs emit 200+ telemetry signals at 5 Hz via MQTT. Signals follow the MG TBox Big Data Specification with EV/PHEV/ICE schema variants.</w:t>
      </w:r>
    </w:p>
    <w:p>
      <w:r>
        <w:rPr>
          <w:b/>
          <w:color w:val="0F2044"/>
          <w:sz w:val="21"/>
        </w:rPr>
        <w:t xml:space="preserve">Layer 2 — Messaging &amp; Storage: </w:t>
      </w:r>
      <w:r>
        <w:rPr>
          <w:sz w:val="21"/>
        </w:rPr>
        <w:t>Eclipse Mosquitto broker receives MQTT telemetry. The platform uses pandas CSV files as the primary data store — a deliberate offline-first decision enabling operation without a live database.</w:t>
      </w:r>
    </w:p>
    <w:p>
      <w:r>
        <w:rPr>
          <w:b/>
          <w:color w:val="0F2044"/>
          <w:sz w:val="21"/>
        </w:rPr>
        <w:t xml:space="preserve">Layer 3 — ML &amp; Business Logic: </w:t>
      </w:r>
      <w:r>
        <w:rPr>
          <w:sz w:val="21"/>
        </w:rPr>
        <w:t>8 LightGBM models provide RUL (Remaining Useful Life) predictions for major components. A Champion-Challenger registry with PSI drift monitoring governs model promotion. 4 physics-based EV engines (DCDC, motor, charging, thermal) complement the statistical models.</w:t>
      </w:r>
    </w:p>
    <w:p>
      <w:r>
        <w:rPr>
          <w:b/>
          <w:color w:val="0F2044"/>
          <w:sz w:val="21"/>
        </w:rPr>
        <w:t xml:space="preserve">Layer 4 — API Gateway: </w:t>
      </w:r>
      <w:r>
        <w:rPr>
          <w:sz w:val="21"/>
        </w:rPr>
        <w:t>FastAPI with Uvicorn provides 36 REST endpoints across 6 routers. Authentication uses JWT HS256 with three-role RBAC (DEALER/OEM/ADMIN). slowapi enforces rate limits on auth endpoints.</w:t>
      </w:r>
    </w:p>
    <w:p>
      <w:r>
        <w:rPr>
          <w:b/>
          <w:color w:val="0F2044"/>
          <w:sz w:val="21"/>
        </w:rPr>
        <w:t xml:space="preserve">Layer 5 — Presentation: </w:t>
      </w:r>
      <w:r>
        <w:rPr>
          <w:sz w:val="21"/>
        </w:rPr>
        <w:t>React 18 + TypeScript dealer portal with role-gated routing. TanStack Query v5 manages server state. Recharts renders analytics charts.</w:t>
      </w:r>
    </w:p>
    <w:p>
      <w:pPr>
        <w:pStyle w:val="Heading1"/>
        <w:jc w:val="left"/>
      </w:pPr>
      <w:r>
        <w:rPr>
          <w:color w:val="0F2044"/>
        </w:rPr>
        <w:t>3. Data Flow Pipeline</w:t>
      </w:r>
    </w:p>
    <w:p>
      <w:pPr>
        <w:jc w:val="both"/>
      </w:pPr>
      <w:r>
        <w:rPr>
          <w:color w:val="1A202C"/>
          <w:sz w:val="21"/>
        </w:rPr>
        <w:t>Raw telemetry signals flow from TBox ECUs through the full stack to generate dealer-facing alerts:</w:t>
      </w:r>
    </w:p>
    <w:p>
      <w:pPr>
        <w:jc w:val="center"/>
      </w:pPr>
      <w:r>
        <w:drawing>
          <wp:inline xmlns:a="http://schemas.openxmlformats.org/drawingml/2006/main" xmlns:pic="http://schemas.openxmlformats.org/drawingml/2006/picture">
            <wp:extent cx="5943600" cy="2397828"/>
            <wp:docPr id="2" name="Picture 2"/>
            <wp:cNvGraphicFramePr>
              <a:graphicFrameLocks noChangeAspect="1"/>
            </wp:cNvGraphicFramePr>
            <a:graphic>
              <a:graphicData uri="http://schemas.openxmlformats.org/drawingml/2006/picture">
                <pic:pic>
                  <pic:nvPicPr>
                    <pic:cNvPr id="0" name="diag_02_data_flow.png"/>
                    <pic:cNvPicPr/>
                  </pic:nvPicPr>
                  <pic:blipFill>
                    <a:blip r:embed="rId10"/>
                    <a:stretch>
                      <a:fillRect/>
                    </a:stretch>
                  </pic:blipFill>
                  <pic:spPr>
                    <a:xfrm>
                      <a:off x="0" y="0"/>
                      <a:ext cx="5943600" cy="2397828"/>
                    </a:xfrm>
                    <a:prstGeom prst="rect"/>
                  </pic:spPr>
                </pic:pic>
              </a:graphicData>
            </a:graphic>
          </wp:inline>
        </w:drawing>
      </w:r>
    </w:p>
    <w:p>
      <w:pPr>
        <w:jc w:val="center"/>
      </w:pPr>
      <w:r>
        <w:rPr>
          <w:i/>
          <w:color w:val="64748B"/>
          <w:sz w:val="18"/>
        </w:rPr>
        <w:t>Figure 2 — Data pipeline from TBox signal to dealer alert</w:t>
      </w:r>
    </w:p>
    <w:p>
      <w:pPr>
        <w:jc w:val="both"/>
      </w:pPr>
      <w:r>
        <w:rPr>
          <w:color w:val="1A202C"/>
          <w:sz w:val="21"/>
        </w:rPr>
        <w:t>Note: The first CSV read on a cold start takes 55–65 seconds due to pandas loading and aggregating the full telemetry history. Subsequent reads are cached in memory.</w:t>
      </w:r>
    </w:p>
    <w:p>
      <w:pPr>
        <w:pStyle w:val="Heading1"/>
        <w:jc w:val="left"/>
      </w:pPr>
      <w:r>
        <w:rPr>
          <w:color w:val="0F2044"/>
        </w:rPr>
        <w:t>4. Authentication &amp; RBAC Architecture</w:t>
      </w:r>
    </w:p>
    <w:p>
      <w:pPr>
        <w:jc w:val="center"/>
      </w:pPr>
      <w:r>
        <w:drawing>
          <wp:inline xmlns:a="http://schemas.openxmlformats.org/drawingml/2006/main" xmlns:pic="http://schemas.openxmlformats.org/drawingml/2006/picture">
            <wp:extent cx="5943600" cy="3646874"/>
            <wp:docPr id="3" name="Picture 3"/>
            <wp:cNvGraphicFramePr>
              <a:graphicFrameLocks noChangeAspect="1"/>
            </wp:cNvGraphicFramePr>
            <a:graphic>
              <a:graphicData uri="http://schemas.openxmlformats.org/drawingml/2006/picture">
                <pic:pic>
                  <pic:nvPicPr>
                    <pic:cNvPr id="0" name="diag_03_auth_rbac.png"/>
                    <pic:cNvPicPr/>
                  </pic:nvPicPr>
                  <pic:blipFill>
                    <a:blip r:embed="rId11"/>
                    <a:stretch>
                      <a:fillRect/>
                    </a:stretch>
                  </pic:blipFill>
                  <pic:spPr>
                    <a:xfrm>
                      <a:off x="0" y="0"/>
                      <a:ext cx="5943600" cy="3646874"/>
                    </a:xfrm>
                    <a:prstGeom prst="rect"/>
                  </pic:spPr>
                </pic:pic>
              </a:graphicData>
            </a:graphic>
          </wp:inline>
        </w:drawing>
      </w:r>
    </w:p>
    <w:p>
      <w:pPr>
        <w:jc w:val="center"/>
      </w:pPr>
      <w:r>
        <w:rPr>
          <w:i/>
          <w:color w:val="64748B"/>
          <w:sz w:val="18"/>
        </w:rPr>
        <w:t>Figure 3 — JWT authentication flow and role hierarchy</w:t>
      </w:r>
    </w:p>
    <w:p>
      <w:pPr>
        <w:jc w:val="both"/>
      </w:pPr>
      <w:r>
        <w:rPr>
          <w:color w:val="1A202C"/>
          <w:sz w:val="21"/>
        </w:rPr>
        <w:t>The JWT payload carries three claims critical to authorisation: sub (username), role (dealer/oem/admin), and dealer_code. Every database query filters on dealer_code, ensuring that a dealer with a valid JWT cannot access another dealer's data even if they intercept or forge a token with a different dealer_code claim.</w:t>
      </w:r>
    </w:p>
    <w:p>
      <w:pPr>
        <w:pStyle w:val="Heading1"/>
        <w:jc w:val="left"/>
      </w:pPr>
      <w:r>
        <w:rPr>
          <w:color w:val="0F2044"/>
        </w:rPr>
        <w:t>5. Technology Stack</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40"/>
            <w:shd w:val="clear" w:color="auto" w:fill="0F2044"/>
          </w:tcPr>
          <w:p>
            <w:pPr>
              <w:jc w:val="center"/>
            </w:pPr>
            <w:r>
              <w:rPr>
                <w:b/>
                <w:color w:val="FFFFFF"/>
                <w:sz w:val="18"/>
              </w:rPr>
              <w:t>Layer</w:t>
            </w:r>
          </w:p>
        </w:tc>
        <w:tc>
          <w:tcPr>
            <w:tcW w:type="dxa" w:w="2016"/>
            <w:shd w:val="clear" w:color="auto" w:fill="0F2044"/>
          </w:tcPr>
          <w:p>
            <w:pPr>
              <w:jc w:val="center"/>
            </w:pPr>
            <w:r>
              <w:rPr>
                <w:b/>
                <w:color w:val="FFFFFF"/>
                <w:sz w:val="18"/>
              </w:rPr>
              <w:t>Technology</w:t>
            </w:r>
          </w:p>
        </w:tc>
        <w:tc>
          <w:tcPr>
            <w:tcW w:type="dxa" w:w="1152"/>
            <w:shd w:val="clear" w:color="auto" w:fill="0F2044"/>
          </w:tcPr>
          <w:p>
            <w:pPr>
              <w:jc w:val="center"/>
            </w:pPr>
            <w:r>
              <w:rPr>
                <w:b/>
                <w:color w:val="FFFFFF"/>
                <w:sz w:val="18"/>
              </w:rPr>
              <w:t>Version</w:t>
            </w:r>
          </w:p>
        </w:tc>
        <w:tc>
          <w:tcPr>
            <w:tcW w:type="dxa" w:w="4608"/>
            <w:shd w:val="clear" w:color="auto" w:fill="0F2044"/>
          </w:tcPr>
          <w:p>
            <w:pPr>
              <w:jc w:val="center"/>
            </w:pPr>
            <w:r>
              <w:rPr>
                <w:b/>
                <w:color w:val="FFFFFF"/>
                <w:sz w:val="18"/>
              </w:rPr>
              <w:t>Rationale</w:t>
            </w:r>
          </w:p>
        </w:tc>
      </w:tr>
      <w:tr>
        <w:tc>
          <w:tcPr>
            <w:tcW w:type="dxa" w:w="1440"/>
          </w:tcPr>
          <w:p>
            <w:r>
              <w:rPr>
                <w:sz w:val="18"/>
              </w:rPr>
              <w:t>Frontend</w:t>
            </w:r>
          </w:p>
        </w:tc>
        <w:tc>
          <w:tcPr>
            <w:tcW w:type="dxa" w:w="2016"/>
          </w:tcPr>
          <w:p>
            <w:r>
              <w:rPr>
                <w:sz w:val="18"/>
              </w:rPr>
              <w:t>React + TypeScript</w:t>
            </w:r>
          </w:p>
        </w:tc>
        <w:tc>
          <w:tcPr>
            <w:tcW w:type="dxa" w:w="1152"/>
          </w:tcPr>
          <w:p>
            <w:r>
              <w:rPr>
                <w:sz w:val="18"/>
              </w:rPr>
              <w:t>18 / 5</w:t>
            </w:r>
          </w:p>
        </w:tc>
        <w:tc>
          <w:tcPr>
            <w:tcW w:type="dxa" w:w="4608"/>
          </w:tcPr>
          <w:p>
            <w:r>
              <w:rPr>
                <w:sz w:val="18"/>
              </w:rPr>
              <w:t>Component model fits the dashboard/portal pattern; TypeScript prevents runtime type errors across 11 pages</w:t>
            </w:r>
          </w:p>
        </w:tc>
      </w:tr>
      <w:tr>
        <w:tc>
          <w:tcPr>
            <w:tcW w:type="dxa" w:w="1440"/>
          </w:tcPr>
          <w:p>
            <w:r>
              <w:rPr>
                <w:sz w:val="18"/>
              </w:rPr>
              <w:t>Frontend</w:t>
            </w:r>
          </w:p>
        </w:tc>
        <w:tc>
          <w:tcPr>
            <w:tcW w:type="dxa" w:w="2016"/>
          </w:tcPr>
          <w:p>
            <w:r>
              <w:rPr>
                <w:sz w:val="18"/>
              </w:rPr>
              <w:t>Vite</w:t>
            </w:r>
          </w:p>
        </w:tc>
        <w:tc>
          <w:tcPr>
            <w:tcW w:type="dxa" w:w="1152"/>
          </w:tcPr>
          <w:p>
            <w:r>
              <w:rPr>
                <w:sz w:val="18"/>
              </w:rPr>
              <w:t>5</w:t>
            </w:r>
          </w:p>
        </w:tc>
        <w:tc>
          <w:tcPr>
            <w:tcW w:type="dxa" w:w="4608"/>
          </w:tcPr>
          <w:p>
            <w:r>
              <w:rPr>
                <w:sz w:val="18"/>
              </w:rPr>
              <w:t>Sub-second HMR; native ES modules; faster than CRA/Webpack for this project size</w:t>
            </w:r>
          </w:p>
        </w:tc>
      </w:tr>
      <w:tr>
        <w:tc>
          <w:tcPr>
            <w:tcW w:type="dxa" w:w="1440"/>
          </w:tcPr>
          <w:p>
            <w:r>
              <w:rPr>
                <w:sz w:val="18"/>
              </w:rPr>
              <w:t>Frontend</w:t>
            </w:r>
          </w:p>
        </w:tc>
        <w:tc>
          <w:tcPr>
            <w:tcW w:type="dxa" w:w="2016"/>
          </w:tcPr>
          <w:p>
            <w:r>
              <w:rPr>
                <w:sz w:val="18"/>
              </w:rPr>
              <w:t>TanStack Query</w:t>
            </w:r>
          </w:p>
        </w:tc>
        <w:tc>
          <w:tcPr>
            <w:tcW w:type="dxa" w:w="1152"/>
          </w:tcPr>
          <w:p>
            <w:r>
              <w:rPr>
                <w:sz w:val="18"/>
              </w:rPr>
              <w:t>v5</w:t>
            </w:r>
          </w:p>
        </w:tc>
        <w:tc>
          <w:tcPr>
            <w:tcW w:type="dxa" w:w="4608"/>
          </w:tcPr>
          <w:p>
            <w:r>
              <w:rPr>
                <w:sz w:val="18"/>
              </w:rPr>
              <w:t>Automatic caching, stale-while-revalidate, and background refetch — eliminates manual useEffect data fetching</w:t>
            </w:r>
          </w:p>
        </w:tc>
      </w:tr>
      <w:tr>
        <w:tc>
          <w:tcPr>
            <w:tcW w:type="dxa" w:w="1440"/>
          </w:tcPr>
          <w:p>
            <w:r>
              <w:rPr>
                <w:sz w:val="18"/>
              </w:rPr>
              <w:t>Frontend</w:t>
            </w:r>
          </w:p>
        </w:tc>
        <w:tc>
          <w:tcPr>
            <w:tcW w:type="dxa" w:w="2016"/>
          </w:tcPr>
          <w:p>
            <w:r>
              <w:rPr>
                <w:sz w:val="18"/>
              </w:rPr>
              <w:t>Recharts</w:t>
            </w:r>
          </w:p>
        </w:tc>
        <w:tc>
          <w:tcPr>
            <w:tcW w:type="dxa" w:w="1152"/>
          </w:tcPr>
          <w:p>
            <w:r>
              <w:rPr>
                <w:sz w:val="18"/>
              </w:rPr>
              <w:t>2</w:t>
            </w:r>
          </w:p>
        </w:tc>
        <w:tc>
          <w:tcPr>
            <w:tcW w:type="dxa" w:w="4608"/>
          </w:tcPr>
          <w:p>
            <w:r>
              <w:rPr>
                <w:sz w:val="18"/>
              </w:rPr>
              <w:t>Pure SVG; passes props through to path elements enabling aria-label injection for WCAG compliance</w:t>
            </w:r>
          </w:p>
        </w:tc>
      </w:tr>
      <w:tr>
        <w:tc>
          <w:tcPr>
            <w:tcW w:type="dxa" w:w="1440"/>
          </w:tcPr>
          <w:p>
            <w:r>
              <w:rPr>
                <w:sz w:val="18"/>
              </w:rPr>
              <w:t>Frontend</w:t>
            </w:r>
          </w:p>
        </w:tc>
        <w:tc>
          <w:tcPr>
            <w:tcW w:type="dxa" w:w="2016"/>
          </w:tcPr>
          <w:p>
            <w:r>
              <w:rPr>
                <w:sz w:val="18"/>
              </w:rPr>
              <w:t>Tailwind CSS</w:t>
            </w:r>
          </w:p>
        </w:tc>
        <w:tc>
          <w:tcPr>
            <w:tcW w:type="dxa" w:w="1152"/>
          </w:tcPr>
          <w:p>
            <w:r>
              <w:rPr>
                <w:sz w:val="18"/>
              </w:rPr>
              <w:t>3</w:t>
            </w:r>
          </w:p>
        </w:tc>
        <w:tc>
          <w:tcPr>
            <w:tcW w:type="dxa" w:w="4608"/>
          </w:tcPr>
          <w:p>
            <w:r>
              <w:rPr>
                <w:sz w:val="18"/>
              </w:rPr>
              <w:t>Utility-first CSS eliminates naming overhead and keeps bundle size low via PurgeCSS</w:t>
            </w:r>
          </w:p>
        </w:tc>
      </w:tr>
      <w:tr>
        <w:tc>
          <w:tcPr>
            <w:tcW w:type="dxa" w:w="1440"/>
          </w:tcPr>
          <w:p>
            <w:r>
              <w:rPr>
                <w:sz w:val="18"/>
              </w:rPr>
              <w:t>Backend</w:t>
            </w:r>
          </w:p>
        </w:tc>
        <w:tc>
          <w:tcPr>
            <w:tcW w:type="dxa" w:w="2016"/>
          </w:tcPr>
          <w:p>
            <w:r>
              <w:rPr>
                <w:sz w:val="18"/>
              </w:rPr>
              <w:t>FastAPI</w:t>
            </w:r>
          </w:p>
        </w:tc>
        <w:tc>
          <w:tcPr>
            <w:tcW w:type="dxa" w:w="1152"/>
          </w:tcPr>
          <w:p>
            <w:r>
              <w:rPr>
                <w:sz w:val="18"/>
              </w:rPr>
              <w:t>0.110</w:t>
            </w:r>
          </w:p>
        </w:tc>
        <w:tc>
          <w:tcPr>
            <w:tcW w:type="dxa" w:w="4608"/>
          </w:tcPr>
          <w:p>
            <w:r>
              <w:rPr>
                <w:sz w:val="18"/>
              </w:rPr>
              <w:t>Auto-generates OpenAPI schema; native async; Pydantic validation at system boundary</w:t>
            </w:r>
          </w:p>
        </w:tc>
      </w:tr>
      <w:tr>
        <w:tc>
          <w:tcPr>
            <w:tcW w:type="dxa" w:w="1440"/>
          </w:tcPr>
          <w:p>
            <w:r>
              <w:rPr>
                <w:sz w:val="18"/>
              </w:rPr>
              <w:t>Backend</w:t>
            </w:r>
          </w:p>
        </w:tc>
        <w:tc>
          <w:tcPr>
            <w:tcW w:type="dxa" w:w="2016"/>
          </w:tcPr>
          <w:p>
            <w:r>
              <w:rPr>
                <w:sz w:val="18"/>
              </w:rPr>
              <w:t>Uvicorn</w:t>
            </w:r>
          </w:p>
        </w:tc>
        <w:tc>
          <w:tcPr>
            <w:tcW w:type="dxa" w:w="1152"/>
          </w:tcPr>
          <w:p>
            <w:r>
              <w:rPr>
                <w:sz w:val="18"/>
              </w:rPr>
              <w:t>0.29</w:t>
            </w:r>
          </w:p>
        </w:tc>
        <w:tc>
          <w:tcPr>
            <w:tcW w:type="dxa" w:w="4608"/>
          </w:tcPr>
          <w:p>
            <w:r>
              <w:rPr>
                <w:sz w:val="18"/>
              </w:rPr>
              <w:t>ASGI server; --reload during dev; single worker in prod matches CSV single-threaded constraint</w:t>
            </w:r>
          </w:p>
        </w:tc>
      </w:tr>
      <w:tr>
        <w:tc>
          <w:tcPr>
            <w:tcW w:type="dxa" w:w="1440"/>
          </w:tcPr>
          <w:p>
            <w:r>
              <w:rPr>
                <w:sz w:val="18"/>
              </w:rPr>
              <w:t>Backend</w:t>
            </w:r>
          </w:p>
        </w:tc>
        <w:tc>
          <w:tcPr>
            <w:tcW w:type="dxa" w:w="2016"/>
          </w:tcPr>
          <w:p>
            <w:r>
              <w:rPr>
                <w:sz w:val="18"/>
              </w:rPr>
              <w:t>python-jose</w:t>
            </w:r>
          </w:p>
        </w:tc>
        <w:tc>
          <w:tcPr>
            <w:tcW w:type="dxa" w:w="1152"/>
          </w:tcPr>
          <w:p>
            <w:r>
              <w:rPr>
                <w:sz w:val="18"/>
              </w:rPr>
              <w:t>3.3</w:t>
            </w:r>
          </w:p>
        </w:tc>
        <w:tc>
          <w:tcPr>
            <w:tcW w:type="dxa" w:w="4608"/>
          </w:tcPr>
          <w:p>
            <w:r>
              <w:rPr>
                <w:sz w:val="18"/>
              </w:rPr>
              <w:t>JWT HS256 encode/decode; battle-tested; integrates cleanly with FastAPI Depends pattern</w:t>
            </w:r>
          </w:p>
        </w:tc>
      </w:tr>
      <w:tr>
        <w:tc>
          <w:tcPr>
            <w:tcW w:type="dxa" w:w="1440"/>
          </w:tcPr>
          <w:p>
            <w:r>
              <w:rPr>
                <w:sz w:val="18"/>
              </w:rPr>
              <w:t>Backend</w:t>
            </w:r>
          </w:p>
        </w:tc>
        <w:tc>
          <w:tcPr>
            <w:tcW w:type="dxa" w:w="2016"/>
          </w:tcPr>
          <w:p>
            <w:r>
              <w:rPr>
                <w:sz w:val="18"/>
              </w:rPr>
              <w:t>pandas</w:t>
            </w:r>
          </w:p>
        </w:tc>
        <w:tc>
          <w:tcPr>
            <w:tcW w:type="dxa" w:w="1152"/>
          </w:tcPr>
          <w:p>
            <w:r>
              <w:rPr>
                <w:sz w:val="18"/>
              </w:rPr>
              <w:t>2.x</w:t>
            </w:r>
          </w:p>
        </w:tc>
        <w:tc>
          <w:tcPr>
            <w:tcW w:type="dxa" w:w="4608"/>
          </w:tcPr>
          <w:p>
            <w:r>
              <w:rPr>
                <w:sz w:val="18"/>
              </w:rPr>
              <w:t>Offline-first CSV engine; vectorised aggregation over millions of telemetry rows</w:t>
            </w:r>
          </w:p>
        </w:tc>
      </w:tr>
      <w:tr>
        <w:tc>
          <w:tcPr>
            <w:tcW w:type="dxa" w:w="1440"/>
          </w:tcPr>
          <w:p>
            <w:r>
              <w:rPr>
                <w:sz w:val="18"/>
              </w:rPr>
              <w:t>ML</w:t>
            </w:r>
          </w:p>
        </w:tc>
        <w:tc>
          <w:tcPr>
            <w:tcW w:type="dxa" w:w="2016"/>
          </w:tcPr>
          <w:p>
            <w:r>
              <w:rPr>
                <w:sz w:val="18"/>
              </w:rPr>
              <w:t>LightGBM</w:t>
            </w:r>
          </w:p>
        </w:tc>
        <w:tc>
          <w:tcPr>
            <w:tcW w:type="dxa" w:w="1152"/>
          </w:tcPr>
          <w:p>
            <w:r>
              <w:rPr>
                <w:sz w:val="18"/>
              </w:rPr>
              <w:t>4.x</w:t>
            </w:r>
          </w:p>
        </w:tc>
        <w:tc>
          <w:tcPr>
            <w:tcW w:type="dxa" w:w="4608"/>
          </w:tcPr>
          <w:p>
            <w:r>
              <w:rPr>
                <w:sz w:val="18"/>
              </w:rPr>
              <w:t>Gradient boosted trees; fastest training on tabular data; handles missing values natively</w:t>
            </w:r>
          </w:p>
        </w:tc>
      </w:tr>
      <w:tr>
        <w:tc>
          <w:tcPr>
            <w:tcW w:type="dxa" w:w="1440"/>
          </w:tcPr>
          <w:p>
            <w:r>
              <w:rPr>
                <w:sz w:val="18"/>
              </w:rPr>
              <w:t>ML</w:t>
            </w:r>
          </w:p>
        </w:tc>
        <w:tc>
          <w:tcPr>
            <w:tcW w:type="dxa" w:w="2016"/>
          </w:tcPr>
          <w:p>
            <w:r>
              <w:rPr>
                <w:sz w:val="18"/>
              </w:rPr>
              <w:t>scikit-learn</w:t>
            </w:r>
          </w:p>
        </w:tc>
        <w:tc>
          <w:tcPr>
            <w:tcW w:type="dxa" w:w="1152"/>
          </w:tcPr>
          <w:p>
            <w:r>
              <w:rPr>
                <w:sz w:val="18"/>
              </w:rPr>
              <w:t>1.4</w:t>
            </w:r>
          </w:p>
        </w:tc>
        <w:tc>
          <w:tcPr>
            <w:tcW w:type="dxa" w:w="4608"/>
          </w:tcPr>
          <w:p>
            <w:r>
              <w:rPr>
                <w:sz w:val="18"/>
              </w:rPr>
              <w:t>Feature pipeline, scaler, and model evaluation metrics</w:t>
            </w:r>
          </w:p>
        </w:tc>
      </w:tr>
      <w:tr>
        <w:tc>
          <w:tcPr>
            <w:tcW w:type="dxa" w:w="1440"/>
          </w:tcPr>
          <w:p>
            <w:r>
              <w:rPr>
                <w:sz w:val="18"/>
              </w:rPr>
              <w:t>ML</w:t>
            </w:r>
          </w:p>
        </w:tc>
        <w:tc>
          <w:tcPr>
            <w:tcW w:type="dxa" w:w="2016"/>
          </w:tcPr>
          <w:p>
            <w:r>
              <w:rPr>
                <w:sz w:val="18"/>
              </w:rPr>
              <w:t>paho-mqtt</w:t>
            </w:r>
          </w:p>
        </w:tc>
        <w:tc>
          <w:tcPr>
            <w:tcW w:type="dxa" w:w="1152"/>
          </w:tcPr>
          <w:p>
            <w:r>
              <w:rPr>
                <w:sz w:val="18"/>
              </w:rPr>
              <w:t>1.6</w:t>
            </w:r>
          </w:p>
        </w:tc>
        <w:tc>
          <w:tcPr>
            <w:tcW w:type="dxa" w:w="4608"/>
          </w:tcPr>
          <w:p>
            <w:r>
              <w:rPr>
                <w:sz w:val="18"/>
              </w:rPr>
              <w:t>MQTT client for TBox telemetry subscription</w:t>
            </w:r>
          </w:p>
        </w:tc>
      </w:tr>
      <w:tr>
        <w:tc>
          <w:tcPr>
            <w:tcW w:type="dxa" w:w="1440"/>
          </w:tcPr>
          <w:p>
            <w:r>
              <w:rPr>
                <w:sz w:val="18"/>
              </w:rPr>
              <w:t>Testing</w:t>
            </w:r>
          </w:p>
        </w:tc>
        <w:tc>
          <w:tcPr>
            <w:tcW w:type="dxa" w:w="2016"/>
          </w:tcPr>
          <w:p>
            <w:r>
              <w:rPr>
                <w:sz w:val="18"/>
              </w:rPr>
              <w:t>Playwright</w:t>
            </w:r>
          </w:p>
        </w:tc>
        <w:tc>
          <w:tcPr>
            <w:tcW w:type="dxa" w:w="1152"/>
          </w:tcPr>
          <w:p>
            <w:r>
              <w:rPr>
                <w:sz w:val="18"/>
              </w:rPr>
              <w:t>1.61</w:t>
            </w:r>
          </w:p>
        </w:tc>
        <w:tc>
          <w:tcPr>
            <w:tcW w:type="dxa" w:w="4608"/>
          </w:tcPr>
          <w:p>
            <w:r>
              <w:rPr>
                <w:sz w:val="18"/>
              </w:rPr>
              <w:t>Native TypeScript; built-in APIRequestContext; reliable cross-browser automation</w:t>
            </w:r>
          </w:p>
        </w:tc>
      </w:tr>
      <w:tr>
        <w:tc>
          <w:tcPr>
            <w:tcW w:type="dxa" w:w="1440"/>
          </w:tcPr>
          <w:p>
            <w:r>
              <w:rPr>
                <w:sz w:val="18"/>
              </w:rPr>
              <w:t>Testing</w:t>
            </w:r>
          </w:p>
        </w:tc>
        <w:tc>
          <w:tcPr>
            <w:tcW w:type="dxa" w:w="2016"/>
          </w:tcPr>
          <w:p>
            <w:r>
              <w:rPr>
                <w:sz w:val="18"/>
              </w:rPr>
              <w:t>axe-core</w:t>
            </w:r>
          </w:p>
        </w:tc>
        <w:tc>
          <w:tcPr>
            <w:tcW w:type="dxa" w:w="1152"/>
          </w:tcPr>
          <w:p>
            <w:r>
              <w:rPr>
                <w:sz w:val="18"/>
              </w:rPr>
              <w:t>4.x</w:t>
            </w:r>
          </w:p>
        </w:tc>
        <w:tc>
          <w:tcPr>
            <w:tcW w:type="dxa" w:w="4608"/>
          </w:tcPr>
          <w:p>
            <w:r>
              <w:rPr>
                <w:sz w:val="18"/>
              </w:rPr>
              <w:t>WCAG 2.1 AA automated accessibility scanning in-browser</w:t>
            </w:r>
          </w:p>
        </w:tc>
      </w:tr>
    </w:tbl>
    <w:p>
      <w:pPr>
        <w:pStyle w:val="Heading1"/>
        <w:jc w:val="left"/>
      </w:pPr>
      <w:r>
        <w:rPr>
          <w:color w:val="0F2044"/>
        </w:rPr>
        <w:t>6. Deployment Architecture</w:t>
      </w:r>
    </w:p>
    <w:p>
      <w:pPr>
        <w:jc w:val="center"/>
      </w:pPr>
      <w:r>
        <w:drawing>
          <wp:inline xmlns:a="http://schemas.openxmlformats.org/drawingml/2006/main" xmlns:pic="http://schemas.openxmlformats.org/drawingml/2006/picture">
            <wp:extent cx="5943600" cy="3318770"/>
            <wp:docPr id="4" name="Picture 4"/>
            <wp:cNvGraphicFramePr>
              <a:graphicFrameLocks noChangeAspect="1"/>
            </wp:cNvGraphicFramePr>
            <a:graphic>
              <a:graphicData uri="http://schemas.openxmlformats.org/drawingml/2006/picture">
                <pic:pic>
                  <pic:nvPicPr>
                    <pic:cNvPr id="0" name="diag_04_deployment.png"/>
                    <pic:cNvPicPr/>
                  </pic:nvPicPr>
                  <pic:blipFill>
                    <a:blip r:embed="rId12"/>
                    <a:stretch>
                      <a:fillRect/>
                    </a:stretch>
                  </pic:blipFill>
                  <pic:spPr>
                    <a:xfrm>
                      <a:off x="0" y="0"/>
                      <a:ext cx="5943600" cy="3318770"/>
                    </a:xfrm>
                    <a:prstGeom prst="rect"/>
                  </pic:spPr>
                </pic:pic>
              </a:graphicData>
            </a:graphic>
          </wp:inline>
        </w:drawing>
      </w:r>
    </w:p>
    <w:p>
      <w:pPr>
        <w:jc w:val="center"/>
      </w:pPr>
      <w:r>
        <w:rPr>
          <w:i/>
          <w:color w:val="64748B"/>
          <w:sz w:val="18"/>
        </w:rPr>
        <w:t>Figure 4 — Docker Compose deployment with three containers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F2044"/>
          </w:tcPr>
          <w:p>
            <w:pPr>
              <w:jc w:val="center"/>
            </w:pPr>
            <w:r>
              <w:rPr>
                <w:b/>
                <w:color w:val="FFFFFF"/>
                <w:sz w:val="18"/>
              </w:rPr>
              <w:t>Service</w:t>
            </w:r>
          </w:p>
        </w:tc>
        <w:tc>
          <w:tcPr>
            <w:tcW w:type="dxa" w:w="2351"/>
            <w:shd w:val="clear" w:color="auto" w:fill="0F2044"/>
          </w:tcPr>
          <w:p>
            <w:pPr>
              <w:jc w:val="center"/>
            </w:pPr>
            <w:r>
              <w:rPr>
                <w:b/>
                <w:color w:val="FFFFFF"/>
                <w:sz w:val="18"/>
              </w:rPr>
              <w:t>Port</w:t>
            </w:r>
          </w:p>
        </w:tc>
        <w:tc>
          <w:tcPr>
            <w:tcW w:type="dxa" w:w="2351"/>
            <w:shd w:val="clear" w:color="auto" w:fill="0F2044"/>
          </w:tcPr>
          <w:p>
            <w:pPr>
              <w:jc w:val="center"/>
            </w:pPr>
            <w:r>
              <w:rPr>
                <w:b/>
                <w:color w:val="FFFFFF"/>
                <w:sz w:val="18"/>
              </w:rPr>
              <w:t>Technology</w:t>
            </w:r>
          </w:p>
        </w:tc>
        <w:tc>
          <w:tcPr>
            <w:tcW w:type="dxa" w:w="2351"/>
            <w:shd w:val="clear" w:color="auto" w:fill="0F2044"/>
          </w:tcPr>
          <w:p>
            <w:pPr>
              <w:jc w:val="center"/>
            </w:pPr>
            <w:r>
              <w:rPr>
                <w:b/>
                <w:color w:val="FFFFFF"/>
                <w:sz w:val="18"/>
              </w:rPr>
              <w:t>Purpose</w:t>
            </w:r>
          </w:p>
        </w:tc>
      </w:tr>
      <w:tr>
        <w:tc>
          <w:tcPr>
            <w:tcW w:type="dxa" w:w="2351"/>
          </w:tcPr>
          <w:p>
            <w:r>
              <w:rPr>
                <w:sz w:val="18"/>
              </w:rPr>
              <w:t>frontend</w:t>
            </w:r>
          </w:p>
        </w:tc>
        <w:tc>
          <w:tcPr>
            <w:tcW w:type="dxa" w:w="2351"/>
          </w:tcPr>
          <w:p>
            <w:r>
              <w:rPr>
                <w:sz w:val="18"/>
              </w:rPr>
              <w:t>3000</w:t>
            </w:r>
          </w:p>
        </w:tc>
        <w:tc>
          <w:tcPr>
            <w:tcW w:type="dxa" w:w="2351"/>
          </w:tcPr>
          <w:p>
            <w:r>
              <w:rPr>
                <w:sz w:val="18"/>
              </w:rPr>
              <w:t>React + Vite / Nginx</w:t>
            </w:r>
          </w:p>
        </w:tc>
        <w:tc>
          <w:tcPr>
            <w:tcW w:type="dxa" w:w="2351"/>
          </w:tcPr>
          <w:p>
            <w:r>
              <w:rPr>
                <w:sz w:val="18"/>
              </w:rPr>
              <w:t>Serves compiled React SPA</w:t>
            </w:r>
          </w:p>
        </w:tc>
      </w:tr>
      <w:tr>
        <w:tc>
          <w:tcPr>
            <w:tcW w:type="dxa" w:w="2351"/>
          </w:tcPr>
          <w:p>
            <w:r>
              <w:rPr>
                <w:sz w:val="18"/>
              </w:rPr>
              <w:t>backend</w:t>
            </w:r>
          </w:p>
        </w:tc>
        <w:tc>
          <w:tcPr>
            <w:tcW w:type="dxa" w:w="2351"/>
          </w:tcPr>
          <w:p>
            <w:r>
              <w:rPr>
                <w:sz w:val="18"/>
              </w:rPr>
              <w:t>8001</w:t>
            </w:r>
          </w:p>
        </w:tc>
        <w:tc>
          <w:tcPr>
            <w:tcW w:type="dxa" w:w="2351"/>
          </w:tcPr>
          <w:p>
            <w:r>
              <w:rPr>
                <w:sz w:val="18"/>
              </w:rPr>
              <w:t>FastAPI + Uvicorn</w:t>
            </w:r>
          </w:p>
        </w:tc>
        <w:tc>
          <w:tcPr>
            <w:tcW w:type="dxa" w:w="2351"/>
          </w:tcPr>
          <w:p>
            <w:r>
              <w:rPr>
                <w:sz w:val="18"/>
              </w:rPr>
              <w:t>REST API, JWT auth, ML inference</w:t>
            </w:r>
          </w:p>
        </w:tc>
      </w:tr>
      <w:tr>
        <w:tc>
          <w:tcPr>
            <w:tcW w:type="dxa" w:w="2351"/>
          </w:tcPr>
          <w:p>
            <w:r>
              <w:rPr>
                <w:sz w:val="18"/>
              </w:rPr>
              <w:t>mqtt-broker</w:t>
            </w:r>
          </w:p>
        </w:tc>
        <w:tc>
          <w:tcPr>
            <w:tcW w:type="dxa" w:w="2351"/>
          </w:tcPr>
          <w:p>
            <w:r>
              <w:rPr>
                <w:sz w:val="18"/>
              </w:rPr>
              <w:t>1883</w:t>
            </w:r>
          </w:p>
        </w:tc>
        <w:tc>
          <w:tcPr>
            <w:tcW w:type="dxa" w:w="2351"/>
          </w:tcPr>
          <w:p>
            <w:r>
              <w:rPr>
                <w:sz w:val="18"/>
              </w:rPr>
              <w:t>Eclipse Mosquitto</w:t>
            </w:r>
          </w:p>
        </w:tc>
        <w:tc>
          <w:tcPr>
            <w:tcW w:type="dxa" w:w="2351"/>
          </w:tcPr>
          <w:p>
            <w:r>
              <w:rPr>
                <w:sz w:val="18"/>
              </w:rPr>
              <w:t>Vehicle telemetry ingestion</w:t>
            </w:r>
          </w:p>
        </w:tc>
      </w:tr>
    </w:tbl>
    <w:p>
      <w:pPr>
        <w:pStyle w:val="Heading1"/>
        <w:jc w:val="left"/>
      </w:pPr>
      <w:r>
        <w:rPr>
          <w:color w:val="0F2044"/>
        </w:rPr>
        <w:t>7. ML Pipeline</w:t>
      </w:r>
    </w:p>
    <w:p>
      <w:pPr>
        <w:jc w:val="center"/>
      </w:pPr>
      <w:r>
        <w:drawing>
          <wp:inline xmlns:a="http://schemas.openxmlformats.org/drawingml/2006/main" xmlns:pic="http://schemas.openxmlformats.org/drawingml/2006/picture">
            <wp:extent cx="5943600" cy="2988790"/>
            <wp:docPr id="5" name="Picture 5"/>
            <wp:cNvGraphicFramePr>
              <a:graphicFrameLocks noChangeAspect="1"/>
            </wp:cNvGraphicFramePr>
            <a:graphic>
              <a:graphicData uri="http://schemas.openxmlformats.org/drawingml/2006/picture">
                <pic:pic>
                  <pic:nvPicPr>
                    <pic:cNvPr id="0" name="diag_05_ml_pipeline.png"/>
                    <pic:cNvPicPr/>
                  </pic:nvPicPr>
                  <pic:blipFill>
                    <a:blip r:embed="rId13"/>
                    <a:stretch>
                      <a:fillRect/>
                    </a:stretch>
                  </pic:blipFill>
                  <pic:spPr>
                    <a:xfrm>
                      <a:off x="0" y="0"/>
                      <a:ext cx="5943600" cy="2988790"/>
                    </a:xfrm>
                    <a:prstGeom prst="rect"/>
                  </pic:spPr>
                </pic:pic>
              </a:graphicData>
            </a:graphic>
          </wp:inline>
        </w:drawing>
      </w:r>
    </w:p>
    <w:p>
      <w:pPr>
        <w:jc w:val="center"/>
      </w:pPr>
      <w:r>
        <w:rPr>
          <w:i/>
          <w:color w:val="64748B"/>
          <w:sz w:val="18"/>
        </w:rPr>
        <w:t>Figure 5 — ML training and serving pipeline with Champion-Challenger registry</w:t>
      </w:r>
    </w:p>
    <w:p>
      <w:pPr>
        <w:jc w:val="both"/>
      </w:pPr>
      <w:r>
        <w:rPr>
          <w:color w:val="1A202C"/>
          <w:sz w:val="21"/>
        </w:rPr>
        <w:t>The Champion-Challenger framework ensures safe model promotion: a new model (Challenger) runs in shadow mode against live traffic. PSI (Population Stability Index) monitors feature distribution drift. When PSI exceeds the configured threshold, the OEM analyst is notified via the Retrain Control UI and can promote the challenger to champion.</w:t>
      </w:r>
    </w:p>
    <w:p>
      <w:pPr>
        <w:pStyle w:val="Heading1"/>
        <w:jc w:val="left"/>
      </w:pPr>
      <w:r>
        <w:rPr>
          <w:color w:val="0F2044"/>
        </w:rPr>
        <w:t>8. API Architecture</w:t>
      </w:r>
    </w:p>
    <w:p>
      <w:pPr>
        <w:jc w:val="center"/>
      </w:pPr>
      <w:r>
        <w:drawing>
          <wp:inline xmlns:a="http://schemas.openxmlformats.org/drawingml/2006/main" xmlns:pic="http://schemas.openxmlformats.org/drawingml/2006/picture">
            <wp:extent cx="5943600" cy="3318770"/>
            <wp:docPr id="6" name="Picture 6"/>
            <wp:cNvGraphicFramePr>
              <a:graphicFrameLocks noChangeAspect="1"/>
            </wp:cNvGraphicFramePr>
            <a:graphic>
              <a:graphicData uri="http://schemas.openxmlformats.org/drawingml/2006/picture">
                <pic:pic>
                  <pic:nvPicPr>
                    <pic:cNvPr id="0" name="diag_06_api_routes.png"/>
                    <pic:cNvPicPr/>
                  </pic:nvPicPr>
                  <pic:blipFill>
                    <a:blip r:embed="rId14"/>
                    <a:stretch>
                      <a:fillRect/>
                    </a:stretch>
                  </pic:blipFill>
                  <pic:spPr>
                    <a:xfrm>
                      <a:off x="0" y="0"/>
                      <a:ext cx="5943600" cy="3318770"/>
                    </a:xfrm>
                    <a:prstGeom prst="rect"/>
                  </pic:spPr>
                </pic:pic>
              </a:graphicData>
            </a:graphic>
          </wp:inline>
        </w:drawing>
      </w:r>
    </w:p>
    <w:p>
      <w:pPr>
        <w:jc w:val="center"/>
      </w:pPr>
      <w:r>
        <w:rPr>
          <w:i/>
          <w:color w:val="64748B"/>
          <w:sz w:val="18"/>
        </w:rPr>
        <w:t>Figure 6 — API router map showing 36 endpoints across 6 routers</w:t>
      </w:r>
    </w:p>
    <w:p>
      <w:pPr>
        <w:pStyle w:val="Heading1"/>
        <w:jc w:val="left"/>
      </w:pPr>
      <w:r>
        <w:rPr>
          <w:color w:val="0F2044"/>
        </w:rPr>
        <w:t>9. Architectural Decisions &amp; Rationale</w:t>
      </w:r>
    </w:p>
    <w:p>
      <w:r>
        <w:rPr>
          <w:b/>
          <w:color w:val="0F2044"/>
          <w:sz w:val="21"/>
        </w:rPr>
        <w:t xml:space="preserve">CSV over Database: </w:t>
      </w:r>
      <w:r>
        <w:rPr>
          <w:sz w:val="21"/>
        </w:rPr>
        <w:t>Enables fully offline deployment in dealerships with intermittent connectivity. pandas provides sufficient performance for the current fleet size (&lt;50,000 vehicles). Migration path to PostgreSQL is documented in the Phase 4 roadmap.</w:t>
      </w:r>
    </w:p>
    <w:p>
      <w:r>
        <w:rPr>
          <w:b/>
          <w:color w:val="0F2044"/>
          <w:sz w:val="21"/>
        </w:rPr>
        <w:t xml:space="preserve">JWT over Session Cookies: </w:t>
      </w:r>
      <w:r>
        <w:rPr>
          <w:sz w:val="21"/>
        </w:rPr>
        <w:t>Stateless auth simplifies horizontal scaling and eliminates server-side session storage. All auth state lives in localStorage — acceptable for the internal dealer portal threat model.</w:t>
      </w:r>
    </w:p>
    <w:p>
      <w:r>
        <w:rPr>
          <w:b/>
          <w:color w:val="0F2044"/>
          <w:sz w:val="21"/>
        </w:rPr>
        <w:t xml:space="preserve">LightGBM over Neural Networks: </w:t>
      </w:r>
      <w:r>
        <w:rPr>
          <w:sz w:val="21"/>
        </w:rPr>
        <w:t>Tabular vehicle telemetry data with hand-crafted features performs better with gradient boosted trees than neural networks. LightGBM trains in minutes on commodity hardware; neural nets would require GPU resources not available at dealerships.</w:t>
      </w:r>
    </w:p>
    <w:p>
      <w:r>
        <w:rPr>
          <w:b/>
          <w:color w:val="0F2044"/>
          <w:sz w:val="21"/>
        </w:rPr>
        <w:t xml:space="preserve">workers=1 in Production: </w:t>
      </w:r>
      <w:r>
        <w:rPr>
          <w:sz w:val="21"/>
        </w:rPr>
        <w:t>The CSV data store is not thread-safe for concurrent writes. Single-worker Uvicorn is a deliberate constraint, not a limitation. The Phase 4 database migration removes this constraint.</w:t>
      </w:r>
    </w:p>
    <w:p>
      <w:r>
        <w:rPr>
          <w:b/>
          <w:color w:val="0F2044"/>
          <w:sz w:val="21"/>
        </w:rPr>
        <w:t xml:space="preserve">React Query over Redux: </w:t>
      </w:r>
      <w:r>
        <w:rPr>
          <w:sz w:val="21"/>
        </w:rPr>
        <w:t>Server state (API data) is separate from client state (UI). React Query handles the former with caching and background refetch; useState/Context handle the latter. Redux would add unnecessary boilerplate.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