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r>
    </w:p>
    <w:p>
      <w:pPr>
        <w:jc w:val="center"/>
      </w:pPr>
      <w:r>
        <w:rPr>
          <w:b/>
          <w:color w:val="64748B"/>
          <w:sz w:val="22"/>
        </w:rPr>
        <w:t>MG MOTOR INDIA</w:t>
      </w:r>
    </w:p>
    <w:p>
      <w:pPr>
        <w:jc w:val="center"/>
      </w:pPr>
      <w:r>
        <w:rPr>
          <w:b/>
          <w:color w:val="1E5799"/>
          <w:sz w:val="26"/>
        </w:rPr>
        <w:t>AutoPredict — Predictive Maintenance Platform</w:t>
      </w:r>
    </w:p>
    <w:p/>
    <w:p/>
    <w:p>
      <w:pPr>
        <w:jc w:val="center"/>
      </w:pPr>
      <w:r>
        <w:rPr>
          <w:b/>
          <w:color w:val="0F2044"/>
          <w:sz w:val="56"/>
        </w:rPr>
        <w:t>Product Specification Document</w:t>
      </w:r>
    </w:p>
    <w:p/>
    <w:p>
      <w:pPr>
        <w:jc w:val="center"/>
      </w:pPr>
      <w:r>
        <w:rPr>
          <w:i/>
          <w:color w:val="64748B"/>
          <w:sz w:val="28"/>
        </w:rPr>
        <w:t>Feature definitions, user roles, and functional scope</w:t>
      </w:r>
    </w:p>
    <w:p/>
    <w:p/>
    <w:p/>
    <w:p/>
    <w:p>
      <w:pPr>
        <w:jc w:val="center"/>
      </w:pPr>
      <w:r>
        <w:rPr>
          <w:b/>
          <w:color w:val="0F2044"/>
          <w:sz w:val="20"/>
        </w:rPr>
        <w:t xml:space="preserve">Version:  </w:t>
      </w:r>
      <w:r>
        <w:rPr>
          <w:color w:val="64748B"/>
          <w:sz w:val="20"/>
        </w:rPr>
        <w:t>v1.0</w:t>
      </w:r>
    </w:p>
    <w:p>
      <w:pPr>
        <w:jc w:val="center"/>
      </w:pPr>
      <w:r>
        <w:rPr>
          <w:b/>
          <w:color w:val="0F2044"/>
          <w:sz w:val="20"/>
        </w:rPr>
        <w:t xml:space="preserve">Date:  </w:t>
      </w:r>
      <w:r>
        <w:rPr>
          <w:color w:val="64748B"/>
          <w:sz w:val="20"/>
        </w:rPr>
        <w:t>July 2025</w:t>
      </w:r>
    </w:p>
    <w:p>
      <w:pPr>
        <w:jc w:val="center"/>
      </w:pPr>
      <w:r>
        <w:rPr>
          <w:b/>
          <w:color w:val="0F2044"/>
          <w:sz w:val="20"/>
        </w:rPr>
        <w:t xml:space="preserve">Status:  </w:t>
      </w:r>
      <w:r>
        <w:rPr>
          <w:color w:val="64748B"/>
          <w:sz w:val="20"/>
        </w:rPr>
        <w:t>Confidential — Internal Use</w:t>
      </w:r>
    </w:p>
    <w:p>
      <w:pPr>
        <w:jc w:val="center"/>
      </w:pPr>
      <w:r>
        <w:rPr>
          <w:b/>
          <w:color w:val="0F2044"/>
          <w:sz w:val="20"/>
        </w:rPr>
        <w:t xml:space="preserve">Platform:  </w:t>
      </w:r>
      <w:r>
        <w:rPr>
          <w:color w:val="64748B"/>
          <w:sz w:val="20"/>
        </w:rPr>
        <w:t>AutoPredict v2.0</w:t>
      </w:r>
    </w:p>
    <w:p>
      <w:r>
        <w:br w:type="page"/>
      </w:r>
    </w:p>
    <w:p>
      <w:pPr>
        <w:pStyle w:val="Heading1"/>
        <w:jc w:val="left"/>
      </w:pPr>
      <w:r>
        <w:rPr>
          <w:color w:val="0F2044"/>
        </w:rPr>
        <w:t>1. Product Overview</w:t>
      </w:r>
    </w:p>
    <w:p>
      <w:pPr>
        <w:jc w:val="both"/>
      </w:pPr>
      <w:r>
        <w:rPr>
          <w:color w:val="1A202C"/>
          <w:sz w:val="21"/>
        </w:rPr>
        <w:t>AutoPredict is a cloud-ready, offline-capable predictive maintenance platform purpose-built for MG Motor India. It connects vehicle telemetry from the TBox ECU network with machine learning models to predict component failures before they occur, enabling proactive service scheduling at the dealer level and fleet-wide analytics at the OEM level.</w:t>
      </w:r>
    </w:p>
    <w:p>
      <w:pPr>
        <w:jc w:val="both"/>
      </w:pPr>
      <w:r>
        <w:rPr>
          <w:color w:val="1A202C"/>
          <w:sz w:val="21"/>
        </w:rPr>
        <w:t>The platform replaces reactive maintenance (fix after failure) with predictive maintenance (fix before failure), targeting a 30% reduction in unplanned breakdowns and a 20% improvement in service bay utilisation.</w:t>
      </w:r>
    </w:p>
    <w:p>
      <w:pPr>
        <w:pStyle w:val="Heading1"/>
        <w:jc w:val="left"/>
      </w:pPr>
      <w:r>
        <w:rPr>
          <w:color w:val="0F2044"/>
        </w:rPr>
        <w:t>2. User Roles &amp; Permissions</w:t>
      </w:r>
    </w:p>
    <w:p>
      <w:pPr>
        <w:jc w:val="both"/>
      </w:pPr>
      <w:r>
        <w:rPr>
          <w:color w:val="1A202C"/>
          <w:sz w:val="21"/>
        </w:rPr>
        <w:t>AutoPredict supports three distinct user roles with hierarchical access: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2044"/>
          </w:tcPr>
          <w:p>
            <w:pPr>
              <w:jc w:val="center"/>
            </w:pPr>
            <w:r>
              <w:rPr>
                <w:b/>
                <w:color w:val="FFFFFF"/>
                <w:sz w:val="18"/>
              </w:rPr>
              <w:t>Role</w:t>
            </w:r>
          </w:p>
        </w:tc>
        <w:tc>
          <w:tcPr>
            <w:tcW w:type="dxa" w:w="2351"/>
            <w:shd w:val="clear" w:color="auto" w:fill="0F2044"/>
          </w:tcPr>
          <w:p>
            <w:pPr>
              <w:jc w:val="center"/>
            </w:pPr>
            <w:r>
              <w:rPr>
                <w:b/>
                <w:color w:val="FFFFFF"/>
                <w:sz w:val="18"/>
              </w:rPr>
              <w:t>Scope</w:t>
            </w:r>
          </w:p>
        </w:tc>
        <w:tc>
          <w:tcPr>
            <w:tcW w:type="dxa" w:w="2351"/>
            <w:shd w:val="clear" w:color="auto" w:fill="0F2044"/>
          </w:tcPr>
          <w:p>
            <w:pPr>
              <w:jc w:val="center"/>
            </w:pPr>
            <w:r>
              <w:rPr>
                <w:b/>
                <w:color w:val="FFFFFF"/>
                <w:sz w:val="18"/>
              </w:rPr>
              <w:t>Key Capabilities</w:t>
            </w:r>
          </w:p>
        </w:tc>
        <w:tc>
          <w:tcPr>
            <w:tcW w:type="dxa" w:w="2351"/>
            <w:shd w:val="clear" w:color="auto" w:fill="0F2044"/>
          </w:tcPr>
          <w:p>
            <w:pPr>
              <w:jc w:val="center"/>
            </w:pPr>
            <w:r>
              <w:rPr>
                <w:b/>
                <w:color w:val="FFFFFF"/>
                <w:sz w:val="18"/>
              </w:rPr>
              <w:t>Restriction</w:t>
            </w:r>
          </w:p>
        </w:tc>
      </w:tr>
      <w:tr>
        <w:tc>
          <w:tcPr>
            <w:tcW w:type="dxa" w:w="2351"/>
          </w:tcPr>
          <w:p>
            <w:r>
              <w:rPr>
                <w:sz w:val="18"/>
              </w:rPr>
              <w:t>DEALER</w:t>
            </w:r>
          </w:p>
        </w:tc>
        <w:tc>
          <w:tcPr>
            <w:tcW w:type="dxa" w:w="2351"/>
          </w:tcPr>
          <w:p>
            <w:r>
              <w:rPr>
                <w:sz w:val="18"/>
              </w:rPr>
              <w:t>Own fleet (dealer_code scoped)</w:t>
            </w:r>
          </w:p>
        </w:tc>
        <w:tc>
          <w:tcPr>
            <w:tcW w:type="dxa" w:w="2351"/>
          </w:tcPr>
          <w:p>
            <w:r>
              <w:rPr>
                <w:sz w:val="18"/>
              </w:rPr>
              <w:t>Dashboard, Alerts, Service Bay, Inventory</w:t>
            </w:r>
          </w:p>
        </w:tc>
        <w:tc>
          <w:tcPr>
            <w:tcW w:type="dxa" w:w="2351"/>
          </w:tcPr>
          <w:p>
            <w:r>
              <w:rPr>
                <w:sz w:val="18"/>
              </w:rPr>
              <w:t>Cannot see other dealers' data</w:t>
            </w:r>
          </w:p>
        </w:tc>
      </w:tr>
      <w:tr>
        <w:tc>
          <w:tcPr>
            <w:tcW w:type="dxa" w:w="2351"/>
          </w:tcPr>
          <w:p>
            <w:r>
              <w:rPr>
                <w:sz w:val="18"/>
              </w:rPr>
              <w:t>OEM</w:t>
            </w:r>
          </w:p>
        </w:tc>
        <w:tc>
          <w:tcPr>
            <w:tcW w:type="dxa" w:w="2351"/>
          </w:tcPr>
          <w:p>
            <w:r>
              <w:rPr>
                <w:sz w:val="18"/>
              </w:rPr>
              <w:t>All dealers and all vehicles</w:t>
            </w:r>
          </w:p>
        </w:tc>
        <w:tc>
          <w:tcPr>
            <w:tcW w:type="dxa" w:w="2351"/>
          </w:tcPr>
          <w:p>
            <w:r>
              <w:rPr>
                <w:sz w:val="18"/>
              </w:rPr>
              <w:t>Fleet Analytics, Model Health, EDA, What-If, Retrain</w:t>
            </w:r>
          </w:p>
        </w:tc>
        <w:tc>
          <w:tcPr>
            <w:tcW w:type="dxa" w:w="2351"/>
          </w:tcPr>
          <w:p>
            <w:r>
              <w:rPr>
                <w:sz w:val="18"/>
              </w:rPr>
              <w:t>Cannot manage users</w:t>
            </w:r>
          </w:p>
        </w:tc>
      </w:tr>
      <w:tr>
        <w:tc>
          <w:tcPr>
            <w:tcW w:type="dxa" w:w="2351"/>
          </w:tcPr>
          <w:p>
            <w:r>
              <w:rPr>
                <w:sz w:val="18"/>
              </w:rPr>
              <w:t>ADMIN</w:t>
            </w:r>
          </w:p>
        </w:tc>
        <w:tc>
          <w:tcPr>
            <w:tcW w:type="dxa" w:w="2351"/>
          </w:tcPr>
          <w:p>
            <w:r>
              <w:rPr>
                <w:sz w:val="18"/>
              </w:rPr>
              <w:t>Full system</w:t>
            </w:r>
          </w:p>
        </w:tc>
        <w:tc>
          <w:tcPr>
            <w:tcW w:type="dxa" w:w="2351"/>
          </w:tcPr>
          <w:p>
            <w:r>
              <w:rPr>
                <w:sz w:val="18"/>
              </w:rPr>
              <w:t>User management, all OEM capabilities</w:t>
            </w:r>
          </w:p>
        </w:tc>
        <w:tc>
          <w:tcPr>
            <w:tcW w:type="dxa" w:w="2351"/>
          </w:tcPr>
          <w:p>
            <w:r>
              <w:rPr>
                <w:sz w:val="18"/>
              </w:rPr>
              <w:t>No additional restriction</w:t>
            </w:r>
          </w:p>
        </w:tc>
      </w:tr>
    </w:tbl>
    <w:p>
      <w:pPr>
        <w:pStyle w:val="Heading1"/>
        <w:jc w:val="left"/>
      </w:pPr>
      <w:r>
        <w:rPr>
          <w:color w:val="0F2044"/>
        </w:rPr>
        <w:t>3. System Architecture</w:t>
      </w:r>
    </w:p>
    <w:p>
      <w:pPr>
        <w:jc w:val="center"/>
      </w:pPr>
      <w:r>
        <w:drawing>
          <wp:inline xmlns:a="http://schemas.openxmlformats.org/drawingml/2006/main" xmlns:pic="http://schemas.openxmlformats.org/drawingml/2006/picture">
            <wp:extent cx="5943600" cy="3974978"/>
            <wp:docPr id="1" name="Picture 1"/>
            <wp:cNvGraphicFramePr>
              <a:graphicFrameLocks noChangeAspect="1"/>
            </wp:cNvGraphicFramePr>
            <a:graphic>
              <a:graphicData uri="http://schemas.openxmlformats.org/drawingml/2006/picture">
                <pic:pic>
                  <pic:nvPicPr>
                    <pic:cNvPr id="0" name="diag_01_system_arch.png"/>
                    <pic:cNvPicPr/>
                  </pic:nvPicPr>
                  <pic:blipFill>
                    <a:blip r:embed="rId9"/>
                    <a:stretch>
                      <a:fillRect/>
                    </a:stretch>
                  </pic:blipFill>
                  <pic:spPr>
                    <a:xfrm>
                      <a:off x="0" y="0"/>
                      <a:ext cx="5943600" cy="3974978"/>
                    </a:xfrm>
                    <a:prstGeom prst="rect"/>
                  </pic:spPr>
                </pic:pic>
              </a:graphicData>
            </a:graphic>
          </wp:inline>
        </w:drawing>
      </w:r>
    </w:p>
    <w:p>
      <w:pPr>
        <w:jc w:val="center"/>
      </w:pPr>
      <w:r>
        <w:rPr>
          <w:i/>
          <w:color w:val="64748B"/>
          <w:sz w:val="18"/>
        </w:rPr>
        <w:t>Figure 1 — AutoPredict five-layer system architecture</w:t>
      </w:r>
    </w:p>
    <w:p>
      <w:pPr>
        <w:pStyle w:val="Heading1"/>
        <w:jc w:val="left"/>
      </w:pPr>
      <w:r>
        <w:rPr>
          <w:color w:val="0F2044"/>
        </w:rPr>
        <w:t>4. Feature Specifications</w:t>
      </w:r>
    </w:p>
    <w:p>
      <w:pPr>
        <w:pStyle w:val="Heading2"/>
        <w:jc w:val="left"/>
      </w:pPr>
      <w:r>
        <w:rPr>
          <w:color w:val="0F2044"/>
        </w:rPr>
        <w:t>4.1 Authentication &amp; Role Management</w:t>
      </w:r>
    </w:p>
    <w:p>
      <w:pPr>
        <w:jc w:val="both"/>
      </w:pPr>
      <w:r>
        <w:rPr>
          <w:color w:val="1A202C"/>
          <w:sz w:val="21"/>
        </w:rPr>
        <w:t>JWT HS256-based authentication with 3-tier role hierarchy. Tokens carry sub, role, dealer_code, iat, and exp claims. HTTPBearer with auto_error=False returns HTTP 401 for missing credentials and HTTP 403 for valid token with insufficient role.</w:t>
      </w:r>
    </w:p>
    <w:p>
      <w:pPr>
        <w:pStyle w:val="ListBullet"/>
      </w:pPr>
      <w:r>
        <w:rPr>
          <w:sz w:val="20"/>
        </w:rPr>
        <w:t>Login page with username/password form and branded MG Motor split layout</w:t>
      </w:r>
    </w:p>
    <w:p>
      <w:pPr>
        <w:pStyle w:val="ListBullet"/>
      </w:pPr>
      <w:r>
        <w:rPr>
          <w:sz w:val="20"/>
        </w:rPr>
        <w:t>localStorage-based auth persistence (ap_token, ap_role, ap_dealer_code, ap_user)</w:t>
      </w:r>
    </w:p>
    <w:p>
      <w:pPr>
        <w:pStyle w:val="ListBullet"/>
      </w:pPr>
      <w:r>
        <w:rPr>
          <w:sz w:val="20"/>
        </w:rPr>
        <w:t>PrivateRoute and OemRoute guards in React Router v6</w:t>
      </w:r>
    </w:p>
    <w:p>
      <w:pPr>
        <w:pStyle w:val="ListBullet"/>
      </w:pPr>
      <w:r>
        <w:rPr>
          <w:sz w:val="20"/>
        </w:rPr>
        <w:t>slowapi rate limiting on /api/auth/token (5 requests/minute)</w:t>
      </w:r>
    </w:p>
    <w:p>
      <w:pPr>
        <w:pStyle w:val="ListBullet"/>
      </w:pPr>
      <w:r>
        <w:rPr>
          <w:sz w:val="20"/>
        </w:rPr>
        <w:t>Automatic redirect to /login on token expiry or 401 response</w:t>
      </w:r>
    </w:p>
    <w:p>
      <w:pPr>
        <w:pStyle w:val="Heading2"/>
        <w:jc w:val="left"/>
      </w:pPr>
      <w:r>
        <w:rPr>
          <w:color w:val="0F2044"/>
        </w:rPr>
        <w:t>4.2 Fleet Dashboard (Dealer)</w:t>
      </w:r>
    </w:p>
    <w:p>
      <w:pPr>
        <w:jc w:val="both"/>
      </w:pPr>
      <w:r>
        <w:rPr>
          <w:color w:val="1A202C"/>
          <w:sz w:val="21"/>
        </w:rPr>
        <w:t>The primary dealer-facing page providing a fleet health overview with ML-driven risk scoring for every vehicle in the dealer's fleet.</w:t>
      </w:r>
    </w:p>
    <w:p>
      <w:pPr>
        <w:pStyle w:val="ListBullet"/>
      </w:pPr>
      <w:r>
        <w:rPr>
          <w:sz w:val="20"/>
        </w:rPr>
        <w:t>4 KPI cards: Total Vehicles, Active Alerts, Due for Service, Fleet Health Score</w:t>
      </w:r>
    </w:p>
    <w:p>
      <w:pPr>
        <w:pStyle w:val="ListBullet"/>
      </w:pPr>
      <w:r>
        <w:rPr>
          <w:sz w:val="20"/>
        </w:rPr>
        <w:t>Sortable vehicle table with columns: VIN, Model, Year, Mileage, Last Service, Risk Score, Status</w:t>
      </w:r>
    </w:p>
    <w:p>
      <w:pPr>
        <w:pStyle w:val="ListBullet"/>
      </w:pPr>
      <w:r>
        <w:rPr>
          <w:sz w:val="20"/>
        </w:rPr>
        <w:t>Search/filter by VIN or model name</w:t>
      </w:r>
    </w:p>
    <w:p>
      <w:pPr>
        <w:pStyle w:val="ListBullet"/>
      </w:pPr>
      <w:r>
        <w:rPr>
          <w:sz w:val="20"/>
        </w:rPr>
        <w:t>Colour-coded risk status: Critical (red), High (orange), Medium (yellow), Good (green)</w:t>
      </w:r>
    </w:p>
    <w:p>
      <w:pPr>
        <w:pStyle w:val="ListBullet"/>
      </w:pPr>
      <w:r>
        <w:rPr>
          <w:sz w:val="20"/>
        </w:rPr>
        <w:t>Upcoming Service panel with next 7 days appointments</w:t>
      </w:r>
    </w:p>
    <w:p>
      <w:pPr>
        <w:pStyle w:val="ListBullet"/>
      </w:pPr>
      <w:r>
        <w:rPr>
          <w:sz w:val="20"/>
        </w:rPr>
        <w:t>Real-time data refresh every 5 minutes via TanStack Query</w:t>
      </w:r>
    </w:p>
    <w:p>
      <w:pPr>
        <w:pStyle w:val="Heading2"/>
        <w:jc w:val="left"/>
      </w:pPr>
      <w:r>
        <w:rPr>
          <w:color w:val="0F2044"/>
        </w:rPr>
        <w:t>4.3 Predictive Alerts</w:t>
      </w:r>
    </w:p>
    <w:p>
      <w:pPr>
        <w:jc w:val="both"/>
      </w:pPr>
      <w:r>
        <w:rPr>
          <w:color w:val="1A202C"/>
          <w:sz w:val="21"/>
        </w:rPr>
        <w:t>Rule-based and ML-derived alerts surfaced in a filterable table, enabling dealers to prioritise vehicle maintenance by severity and component type.</w:t>
      </w:r>
    </w:p>
    <w:p>
      <w:pPr>
        <w:pStyle w:val="ListBullet"/>
      </w:pPr>
      <w:r>
        <w:rPr>
          <w:sz w:val="20"/>
        </w:rPr>
        <w:t>Severity filter: All / Critical / High / Medium / Low</w:t>
      </w:r>
    </w:p>
    <w:p>
      <w:pPr>
        <w:pStyle w:val="ListBullet"/>
      </w:pPr>
      <w:r>
        <w:rPr>
          <w:sz w:val="20"/>
        </w:rPr>
        <w:t>Time-window filter: Last 24h / 7 days / 30 days / 90 days</w:t>
      </w:r>
    </w:p>
    <w:p>
      <w:pPr>
        <w:pStyle w:val="ListBullet"/>
      </w:pPr>
      <w:r>
        <w:rPr>
          <w:sz w:val="20"/>
        </w:rPr>
        <w:t>Alert columns: VIN, Component, Predicted Failure Window, Confidence, Days Remaining</w:t>
      </w:r>
    </w:p>
    <w:p>
      <w:pPr>
        <w:pStyle w:val="ListBullet"/>
      </w:pPr>
      <w:r>
        <w:rPr>
          <w:sz w:val="20"/>
        </w:rPr>
        <w:t>Manual refresh button with debounce</w:t>
      </w:r>
    </w:p>
    <w:p>
      <w:pPr>
        <w:pStyle w:val="ListBullet"/>
      </w:pPr>
      <w:r>
        <w:rPr>
          <w:sz w:val="20"/>
        </w:rPr>
        <w:t>Empty state when no alerts match filters</w:t>
      </w:r>
    </w:p>
    <w:p>
      <w:pPr>
        <w:pStyle w:val="Heading2"/>
        <w:jc w:val="left"/>
      </w:pPr>
      <w:r>
        <w:rPr>
          <w:color w:val="0F2044"/>
        </w:rPr>
        <w:t>4.4 ML Prediction Models</w:t>
      </w:r>
    </w:p>
    <w:p>
      <w:pPr>
        <w:jc w:val="both"/>
      </w:pPr>
      <w:r>
        <w:rPr>
          <w:color w:val="1A202C"/>
          <w:sz w:val="21"/>
        </w:rPr>
        <w:t>Eight LightGBM models provide component-specific Remaining Useful Life (RUL) predictions. Four additional physics-based engines handle EV-specific subsystems.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val="clear" w:color="auto" w:fill="0F2044"/>
          </w:tcPr>
          <w:p>
            <w:pPr>
              <w:jc w:val="center"/>
            </w:pPr>
            <w:r>
              <w:rPr>
                <w:b/>
                <w:color w:val="FFFFFF"/>
                <w:sz w:val="18"/>
              </w:rPr>
              <w:t>Model</w:t>
            </w:r>
          </w:p>
        </w:tc>
        <w:tc>
          <w:tcPr>
            <w:tcW w:type="dxa" w:w="2016"/>
            <w:shd w:val="clear" w:color="auto" w:fill="0F2044"/>
          </w:tcPr>
          <w:p>
            <w:pPr>
              <w:jc w:val="center"/>
            </w:pPr>
            <w:r>
              <w:rPr>
                <w:b/>
                <w:color w:val="FFFFFF"/>
                <w:sz w:val="18"/>
              </w:rPr>
              <w:t>Target Component</w:t>
            </w:r>
          </w:p>
        </w:tc>
        <w:tc>
          <w:tcPr>
            <w:tcW w:type="dxa" w:w="3168"/>
            <w:shd w:val="clear" w:color="auto" w:fill="0F2044"/>
          </w:tcPr>
          <w:p>
            <w:pPr>
              <w:jc w:val="center"/>
            </w:pPr>
            <w:r>
              <w:rPr>
                <w:b/>
                <w:color w:val="FFFFFF"/>
                <w:sz w:val="18"/>
              </w:rPr>
              <w:t>Key Features Used</w:t>
            </w:r>
          </w:p>
        </w:tc>
        <w:tc>
          <w:tcPr>
            <w:tcW w:type="dxa" w:w="2160"/>
            <w:shd w:val="clear" w:color="auto" w:fill="0F2044"/>
          </w:tcPr>
          <w:p>
            <w:pPr>
              <w:jc w:val="center"/>
            </w:pPr>
            <w:r>
              <w:rPr>
                <w:b/>
                <w:color w:val="FFFFFF"/>
                <w:sz w:val="18"/>
              </w:rPr>
              <w:t>Output</w:t>
            </w:r>
          </w:p>
        </w:tc>
      </w:tr>
      <w:tr>
        <w:tc>
          <w:tcPr>
            <w:tcW w:type="dxa" w:w="1872"/>
          </w:tcPr>
          <w:p>
            <w:r>
              <w:rPr>
                <w:sz w:val="18"/>
              </w:rPr>
              <w:t>brake_pad</w:t>
            </w:r>
          </w:p>
        </w:tc>
        <w:tc>
          <w:tcPr>
            <w:tcW w:type="dxa" w:w="2016"/>
          </w:tcPr>
          <w:p>
            <w:r>
              <w:rPr>
                <w:sz w:val="18"/>
              </w:rPr>
              <w:t>Brake pads</w:t>
            </w:r>
          </w:p>
        </w:tc>
        <w:tc>
          <w:tcPr>
            <w:tcW w:type="dxa" w:w="3168"/>
          </w:tcPr>
          <w:p>
            <w:r>
              <w:rPr>
                <w:sz w:val="18"/>
              </w:rPr>
              <w:t>Brake applications/km, decel G-force, pad wear signal</w:t>
            </w:r>
          </w:p>
        </w:tc>
        <w:tc>
          <w:tcPr>
            <w:tcW w:type="dxa" w:w="2160"/>
          </w:tcPr>
          <w:p>
            <w:r>
              <w:rPr>
                <w:sz w:val="18"/>
              </w:rPr>
              <w:t>RUL in km</w:t>
            </w:r>
          </w:p>
        </w:tc>
      </w:tr>
      <w:tr>
        <w:tc>
          <w:tcPr>
            <w:tcW w:type="dxa" w:w="1872"/>
          </w:tcPr>
          <w:p>
            <w:r>
              <w:rPr>
                <w:sz w:val="18"/>
              </w:rPr>
              <w:t>engine_oil</w:t>
            </w:r>
          </w:p>
        </w:tc>
        <w:tc>
          <w:tcPr>
            <w:tcW w:type="dxa" w:w="2016"/>
          </w:tcPr>
          <w:p>
            <w:r>
              <w:rPr>
                <w:sz w:val="18"/>
              </w:rPr>
              <w:t>Engine oil</w:t>
            </w:r>
          </w:p>
        </w:tc>
        <w:tc>
          <w:tcPr>
            <w:tcW w:type="dxa" w:w="3168"/>
          </w:tcPr>
          <w:p>
            <w:r>
              <w:rPr>
                <w:sz w:val="18"/>
              </w:rPr>
              <w:t>Oil temp, viscosity proxy, km since last change</w:t>
            </w:r>
          </w:p>
        </w:tc>
        <w:tc>
          <w:tcPr>
            <w:tcW w:type="dxa" w:w="2160"/>
          </w:tcPr>
          <w:p>
            <w:r>
              <w:rPr>
                <w:sz w:val="18"/>
              </w:rPr>
              <w:t>RUL in km</w:t>
            </w:r>
          </w:p>
        </w:tc>
      </w:tr>
      <w:tr>
        <w:tc>
          <w:tcPr>
            <w:tcW w:type="dxa" w:w="1872"/>
          </w:tcPr>
          <w:p>
            <w:r>
              <w:rPr>
                <w:sz w:val="18"/>
              </w:rPr>
              <w:t>tyre_wear</w:t>
            </w:r>
          </w:p>
        </w:tc>
        <w:tc>
          <w:tcPr>
            <w:tcW w:type="dxa" w:w="2016"/>
          </w:tcPr>
          <w:p>
            <w:r>
              <w:rPr>
                <w:sz w:val="18"/>
              </w:rPr>
              <w:t>Tyres</w:t>
            </w:r>
          </w:p>
        </w:tc>
        <w:tc>
          <w:tcPr>
            <w:tcW w:type="dxa" w:w="3168"/>
          </w:tcPr>
          <w:p>
            <w:r>
              <w:rPr>
                <w:sz w:val="18"/>
              </w:rPr>
              <w:t>Mileage, inflation pressure, cornering G</w:t>
            </w:r>
          </w:p>
        </w:tc>
        <w:tc>
          <w:tcPr>
            <w:tcW w:type="dxa" w:w="2160"/>
          </w:tcPr>
          <w:p>
            <w:r>
              <w:rPr>
                <w:sz w:val="18"/>
              </w:rPr>
              <w:t>RUL in km</w:t>
            </w:r>
          </w:p>
        </w:tc>
      </w:tr>
      <w:tr>
        <w:tc>
          <w:tcPr>
            <w:tcW w:type="dxa" w:w="1872"/>
          </w:tcPr>
          <w:p>
            <w:r>
              <w:rPr>
                <w:sz w:val="18"/>
              </w:rPr>
              <w:t>battery_12v</w:t>
            </w:r>
          </w:p>
        </w:tc>
        <w:tc>
          <w:tcPr>
            <w:tcW w:type="dxa" w:w="2016"/>
          </w:tcPr>
          <w:p>
            <w:r>
              <w:rPr>
                <w:sz w:val="18"/>
              </w:rPr>
              <w:t>12V auxiliary battery</w:t>
            </w:r>
          </w:p>
        </w:tc>
        <w:tc>
          <w:tcPr>
            <w:tcW w:type="dxa" w:w="3168"/>
          </w:tcPr>
          <w:p>
            <w:r>
              <w:rPr>
                <w:sz w:val="18"/>
              </w:rPr>
              <w:t>Voltage, temperature, charge cycles</w:t>
            </w:r>
          </w:p>
        </w:tc>
        <w:tc>
          <w:tcPr>
            <w:tcW w:type="dxa" w:w="2160"/>
          </w:tcPr>
          <w:p>
            <w:r>
              <w:rPr>
                <w:sz w:val="18"/>
              </w:rPr>
              <w:t>RUL in days</w:t>
            </w:r>
          </w:p>
        </w:tc>
      </w:tr>
      <w:tr>
        <w:tc>
          <w:tcPr>
            <w:tcW w:type="dxa" w:w="1872"/>
          </w:tcPr>
          <w:p>
            <w:r>
              <w:rPr>
                <w:sz w:val="18"/>
              </w:rPr>
              <w:t>hv_battery_soh</w:t>
            </w:r>
          </w:p>
        </w:tc>
        <w:tc>
          <w:tcPr>
            <w:tcW w:type="dxa" w:w="2016"/>
          </w:tcPr>
          <w:p>
            <w:r>
              <w:rPr>
                <w:sz w:val="18"/>
              </w:rPr>
              <w:t>HV battery (EV/PHEV)</w:t>
            </w:r>
          </w:p>
        </w:tc>
        <w:tc>
          <w:tcPr>
            <w:tcW w:type="dxa" w:w="3168"/>
          </w:tcPr>
          <w:p>
            <w:r>
              <w:rPr>
                <w:sz w:val="18"/>
              </w:rPr>
              <w:t>SOC, charge cycles, thermal history</w:t>
            </w:r>
          </w:p>
        </w:tc>
        <w:tc>
          <w:tcPr>
            <w:tcW w:type="dxa" w:w="2160"/>
          </w:tcPr>
          <w:p>
            <w:r>
              <w:rPr>
                <w:sz w:val="18"/>
              </w:rPr>
              <w:t>SoH %</w:t>
            </w:r>
          </w:p>
        </w:tc>
      </w:tr>
      <w:tr>
        <w:tc>
          <w:tcPr>
            <w:tcW w:type="dxa" w:w="1872"/>
          </w:tcPr>
          <w:p>
            <w:r>
              <w:rPr>
                <w:sz w:val="18"/>
              </w:rPr>
              <w:t>transmission</w:t>
            </w:r>
          </w:p>
        </w:tc>
        <w:tc>
          <w:tcPr>
            <w:tcW w:type="dxa" w:w="2016"/>
          </w:tcPr>
          <w:p>
            <w:r>
              <w:rPr>
                <w:sz w:val="18"/>
              </w:rPr>
              <w:t>Transmission</w:t>
            </w:r>
          </w:p>
        </w:tc>
        <w:tc>
          <w:tcPr>
            <w:tcW w:type="dxa" w:w="3168"/>
          </w:tcPr>
          <w:p>
            <w:r>
              <w:rPr>
                <w:sz w:val="18"/>
              </w:rPr>
              <w:t>Gear changes, temperature, fluid level proxy</w:t>
            </w:r>
          </w:p>
        </w:tc>
        <w:tc>
          <w:tcPr>
            <w:tcW w:type="dxa" w:w="2160"/>
          </w:tcPr>
          <w:p>
            <w:r>
              <w:rPr>
                <w:sz w:val="18"/>
              </w:rPr>
              <w:t>RUL in km</w:t>
            </w:r>
          </w:p>
        </w:tc>
      </w:tr>
      <w:tr>
        <w:tc>
          <w:tcPr>
            <w:tcW w:type="dxa" w:w="1872"/>
          </w:tcPr>
          <w:p>
            <w:r>
              <w:rPr>
                <w:sz w:val="18"/>
              </w:rPr>
              <w:t>cooling_system</w:t>
            </w:r>
          </w:p>
        </w:tc>
        <w:tc>
          <w:tcPr>
            <w:tcW w:type="dxa" w:w="2016"/>
          </w:tcPr>
          <w:p>
            <w:r>
              <w:rPr>
                <w:sz w:val="18"/>
              </w:rPr>
              <w:t>Cooling system</w:t>
            </w:r>
          </w:p>
        </w:tc>
        <w:tc>
          <w:tcPr>
            <w:tcW w:type="dxa" w:w="3168"/>
          </w:tcPr>
          <w:p>
            <w:r>
              <w:rPr>
                <w:sz w:val="18"/>
              </w:rPr>
              <w:t>Coolant temp, fan duty cycle, flow rate</w:t>
            </w:r>
          </w:p>
        </w:tc>
        <w:tc>
          <w:tcPr>
            <w:tcW w:type="dxa" w:w="2160"/>
          </w:tcPr>
          <w:p>
            <w:r>
              <w:rPr>
                <w:sz w:val="18"/>
              </w:rPr>
              <w:t>RUL in days</w:t>
            </w:r>
          </w:p>
        </w:tc>
      </w:tr>
      <w:tr>
        <w:tc>
          <w:tcPr>
            <w:tcW w:type="dxa" w:w="1872"/>
          </w:tcPr>
          <w:p>
            <w:r>
              <w:rPr>
                <w:sz w:val="18"/>
              </w:rPr>
              <w:t>driver_score</w:t>
            </w:r>
          </w:p>
        </w:tc>
        <w:tc>
          <w:tcPr>
            <w:tcW w:type="dxa" w:w="2016"/>
          </w:tcPr>
          <w:p>
            <w:r>
              <w:rPr>
                <w:sz w:val="18"/>
              </w:rPr>
              <w:t>Driver behaviour</w:t>
            </w:r>
          </w:p>
        </w:tc>
        <w:tc>
          <w:tcPr>
            <w:tcW w:type="dxa" w:w="3168"/>
          </w:tcPr>
          <w:p>
            <w:r>
              <w:rPr>
                <w:sz w:val="18"/>
              </w:rPr>
              <w:t>Harsh braking, rapid acceleration, speed percentiles</w:t>
            </w:r>
          </w:p>
        </w:tc>
        <w:tc>
          <w:tcPr>
            <w:tcW w:type="dxa" w:w="2160"/>
          </w:tcPr>
          <w:p>
            <w:r>
              <w:rPr>
                <w:sz w:val="18"/>
              </w:rPr>
              <w:t>Score 0–100</w:t>
            </w:r>
          </w:p>
        </w:tc>
      </w:tr>
      <w:tr>
        <w:tc>
          <w:tcPr>
            <w:tcW w:type="dxa" w:w="1872"/>
          </w:tcPr>
          <w:p>
            <w:r>
              <w:rPr>
                <w:sz w:val="18"/>
              </w:rPr>
              <w:t>DCDC Converter</w:t>
            </w:r>
          </w:p>
        </w:tc>
        <w:tc>
          <w:tcPr>
            <w:tcW w:type="dxa" w:w="2016"/>
          </w:tcPr>
          <w:p>
            <w:r>
              <w:rPr>
                <w:sz w:val="18"/>
              </w:rPr>
              <w:t>EV DCDC system</w:t>
            </w:r>
          </w:p>
        </w:tc>
        <w:tc>
          <w:tcPr>
            <w:tcW w:type="dxa" w:w="3168"/>
          </w:tcPr>
          <w:p>
            <w:r>
              <w:rPr>
                <w:sz w:val="18"/>
              </w:rPr>
              <w:t>Input/output voltage, current, efficiency</w:t>
            </w:r>
          </w:p>
        </w:tc>
        <w:tc>
          <w:tcPr>
            <w:tcW w:type="dxa" w:w="2160"/>
          </w:tcPr>
          <w:p>
            <w:r>
              <w:rPr>
                <w:sz w:val="18"/>
              </w:rPr>
              <w:t>Health %</w:t>
            </w:r>
          </w:p>
        </w:tc>
      </w:tr>
      <w:tr>
        <w:tc>
          <w:tcPr>
            <w:tcW w:type="dxa" w:w="1872"/>
          </w:tcPr>
          <w:p>
            <w:r>
              <w:rPr>
                <w:sz w:val="18"/>
              </w:rPr>
              <w:t>Motor Health</w:t>
            </w:r>
          </w:p>
        </w:tc>
        <w:tc>
          <w:tcPr>
            <w:tcW w:type="dxa" w:w="2016"/>
          </w:tcPr>
          <w:p>
            <w:r>
              <w:rPr>
                <w:sz w:val="18"/>
              </w:rPr>
              <w:t>EV drive motor</w:t>
            </w:r>
          </w:p>
        </w:tc>
        <w:tc>
          <w:tcPr>
            <w:tcW w:type="dxa" w:w="3168"/>
          </w:tcPr>
          <w:p>
            <w:r>
              <w:rPr>
                <w:sz w:val="18"/>
              </w:rPr>
              <w:t>Phase currents, temperatures, torque efficiency</w:t>
            </w:r>
          </w:p>
        </w:tc>
        <w:tc>
          <w:tcPr>
            <w:tcW w:type="dxa" w:w="2160"/>
          </w:tcPr>
          <w:p>
            <w:r>
              <w:rPr>
                <w:sz w:val="18"/>
              </w:rPr>
              <w:t>Health %</w:t>
            </w:r>
          </w:p>
        </w:tc>
      </w:tr>
      <w:tr>
        <w:tc>
          <w:tcPr>
            <w:tcW w:type="dxa" w:w="1872"/>
          </w:tcPr>
          <w:p>
            <w:r>
              <w:rPr>
                <w:sz w:val="18"/>
              </w:rPr>
              <w:t>Charging Health</w:t>
            </w:r>
          </w:p>
        </w:tc>
        <w:tc>
          <w:tcPr>
            <w:tcW w:type="dxa" w:w="2016"/>
          </w:tcPr>
          <w:p>
            <w:r>
              <w:rPr>
                <w:sz w:val="18"/>
              </w:rPr>
              <w:t>Charging system</w:t>
            </w:r>
          </w:p>
        </w:tc>
        <w:tc>
          <w:tcPr>
            <w:tcW w:type="dxa" w:w="3168"/>
          </w:tcPr>
          <w:p>
            <w:r>
              <w:rPr>
                <w:sz w:val="18"/>
              </w:rPr>
              <w:t>Charge rate, thermal, BMS logs</w:t>
            </w:r>
          </w:p>
        </w:tc>
        <w:tc>
          <w:tcPr>
            <w:tcW w:type="dxa" w:w="2160"/>
          </w:tcPr>
          <w:p>
            <w:r>
              <w:rPr>
                <w:sz w:val="18"/>
              </w:rPr>
              <w:t>Health %</w:t>
            </w:r>
          </w:p>
        </w:tc>
      </w:tr>
      <w:tr>
        <w:tc>
          <w:tcPr>
            <w:tcW w:type="dxa" w:w="1872"/>
          </w:tcPr>
          <w:p>
            <w:r>
              <w:rPr>
                <w:sz w:val="18"/>
              </w:rPr>
              <w:t>Thermal Management</w:t>
            </w:r>
          </w:p>
        </w:tc>
        <w:tc>
          <w:tcPr>
            <w:tcW w:type="dxa" w:w="2016"/>
          </w:tcPr>
          <w:p>
            <w:r>
              <w:rPr>
                <w:sz w:val="18"/>
              </w:rPr>
              <w:t>Battery thermal</w:t>
            </w:r>
          </w:p>
        </w:tc>
        <w:tc>
          <w:tcPr>
            <w:tcW w:type="dxa" w:w="3168"/>
          </w:tcPr>
          <w:p>
            <w:r>
              <w:rPr>
                <w:sz w:val="18"/>
              </w:rPr>
              <w:t>Cell temperatures, delta T, coolant flow</w:t>
            </w:r>
          </w:p>
        </w:tc>
        <w:tc>
          <w:tcPr>
            <w:tcW w:type="dxa" w:w="2160"/>
          </w:tcPr>
          <w:p>
            <w:r>
              <w:rPr>
                <w:sz w:val="18"/>
              </w:rPr>
              <w:t>Health %</w:t>
            </w:r>
          </w:p>
        </w:tc>
      </w:tr>
    </w:tbl>
    <w:p>
      <w:pPr>
        <w:pStyle w:val="Heading2"/>
        <w:jc w:val="left"/>
      </w:pPr>
      <w:r>
        <w:rPr>
          <w:color w:val="0F2044"/>
        </w:rPr>
        <w:t>4.5 Service Bay Management</w:t>
      </w:r>
    </w:p>
    <w:p>
      <w:pPr>
        <w:pStyle w:val="ListBullet"/>
      </w:pPr>
      <w:r>
        <w:rPr>
          <w:sz w:val="20"/>
        </w:rPr>
        <w:t>Visual bay grid showing bay number, current status (Free/Occupied/Reserved)</w:t>
      </w:r>
    </w:p>
    <w:p>
      <w:pPr>
        <w:pStyle w:val="ListBullet"/>
      </w:pPr>
      <w:r>
        <w:rPr>
          <w:sz w:val="20"/>
        </w:rPr>
        <w:t>Booking modal: VIN selection, service type, estimated duration, technician</w:t>
      </w:r>
    </w:p>
    <w:p>
      <w:pPr>
        <w:pStyle w:val="ListBullet"/>
      </w:pPr>
      <w:r>
        <w:rPr>
          <w:sz w:val="20"/>
        </w:rPr>
        <w:t>Appointment list with upcoming bookings sortable by date and urgency</w:t>
      </w:r>
    </w:p>
    <w:p>
      <w:pPr>
        <w:pStyle w:val="ListBullet"/>
      </w:pPr>
      <w:r>
        <w:rPr>
          <w:sz w:val="20"/>
        </w:rPr>
        <w:t>Integration with alert system — book directly from an alert record</w:t>
      </w:r>
    </w:p>
    <w:p>
      <w:pPr>
        <w:pStyle w:val="Heading2"/>
        <w:jc w:val="left"/>
      </w:pPr>
      <w:r>
        <w:rPr>
          <w:color w:val="0F2044"/>
        </w:rPr>
        <w:t>4.6 Inventory Management</w:t>
      </w:r>
    </w:p>
    <w:p>
      <w:pPr>
        <w:pStyle w:val="ListBullet"/>
      </w:pPr>
      <w:r>
        <w:rPr>
          <w:sz w:val="20"/>
        </w:rPr>
        <w:t>7-tab inventory interface: Overview, Stock Levels, Reorder Plan, Demand Forecast, Slow Moving, EV Parts, Supplier Contacts</w:t>
      </w:r>
    </w:p>
    <w:p>
      <w:pPr>
        <w:pStyle w:val="ListBullet"/>
      </w:pPr>
      <w:r>
        <w:rPr>
          <w:sz w:val="20"/>
        </w:rPr>
        <w:t>Stock levels per part with min/max thresholds and current quantity</w:t>
      </w:r>
    </w:p>
    <w:p>
      <w:pPr>
        <w:pStyle w:val="ListBullet"/>
      </w:pPr>
      <w:r>
        <w:rPr>
          <w:sz w:val="20"/>
        </w:rPr>
        <w:t>ML-driven demand forecast with configurable horizon (30/60/90 days)</w:t>
      </w:r>
    </w:p>
    <w:p>
      <w:pPr>
        <w:pStyle w:val="ListBullet"/>
      </w:pPr>
      <w:r>
        <w:rPr>
          <w:sz w:val="20"/>
        </w:rPr>
        <w:t>Automatic reorder plan generated from demand forecast vs current stock</w:t>
      </w:r>
    </w:p>
    <w:p>
      <w:pPr>
        <w:pStyle w:val="ListBullet"/>
      </w:pPr>
      <w:r>
        <w:rPr>
          <w:sz w:val="20"/>
        </w:rPr>
        <w:t>EV-specific parts tab with battery pack and charging component inventory</w:t>
      </w:r>
    </w:p>
    <w:p>
      <w:pPr>
        <w:pStyle w:val="Heading2"/>
        <w:jc w:val="left"/>
      </w:pPr>
      <w:r>
        <w:rPr>
          <w:color w:val="0F2044"/>
        </w:rPr>
        <w:t>4.7 OEM Fleet Intelligence</w:t>
      </w:r>
    </w:p>
    <w:p>
      <w:pPr>
        <w:jc w:val="center"/>
      </w:pPr>
      <w:r>
        <w:drawing>
          <wp:inline xmlns:a="http://schemas.openxmlformats.org/drawingml/2006/main" xmlns:pic="http://schemas.openxmlformats.org/drawingml/2006/picture">
            <wp:extent cx="5760720" cy="3216654"/>
            <wp:docPr id="2" name="Picture 2"/>
            <wp:cNvGraphicFramePr>
              <a:graphicFrameLocks noChangeAspect="1"/>
            </wp:cNvGraphicFramePr>
            <a:graphic>
              <a:graphicData uri="http://schemas.openxmlformats.org/drawingml/2006/picture">
                <pic:pic>
                  <pic:nvPicPr>
                    <pic:cNvPr id="0" name="diag_06_api_routes.png"/>
                    <pic:cNvPicPr/>
                  </pic:nvPicPr>
                  <pic:blipFill>
                    <a:blip r:embed="rId10"/>
                    <a:stretch>
                      <a:fillRect/>
                    </a:stretch>
                  </pic:blipFill>
                  <pic:spPr>
                    <a:xfrm>
                      <a:off x="0" y="0"/>
                      <a:ext cx="5760720" cy="3216654"/>
                    </a:xfrm>
                    <a:prstGeom prst="rect"/>
                  </pic:spPr>
                </pic:pic>
              </a:graphicData>
            </a:graphic>
          </wp:inline>
        </w:drawing>
      </w:r>
    </w:p>
    <w:p>
      <w:pPr>
        <w:jc w:val="center"/>
      </w:pPr>
      <w:r>
        <w:rPr>
          <w:i/>
          <w:color w:val="64748B"/>
          <w:sz w:val="18"/>
        </w:rPr>
        <w:t>Figure 2 — OEM API router structure with role access</w:t>
      </w:r>
    </w:p>
    <w:p>
      <w:pPr>
        <w:pStyle w:val="ListBullet"/>
      </w:pPr>
      <w:r>
        <w:rPr>
          <w:sz w:val="20"/>
        </w:rPr>
        <w:t>Fleet-wide overview with group-by: Model / Region / Year / Fuel Type</w:t>
      </w:r>
    </w:p>
    <w:p>
      <w:pPr>
        <w:pStyle w:val="ListBullet"/>
      </w:pPr>
      <w:r>
        <w:rPr>
          <w:sz w:val="20"/>
        </w:rPr>
        <w:t>Model Health heatmap: AUROC, PSI drift, Precision, Recall per model per region</w:t>
      </w:r>
    </w:p>
    <w:p>
      <w:pPr>
        <w:pStyle w:val="ListBullet"/>
      </w:pPr>
      <w:r>
        <w:rPr>
          <w:sz w:val="20"/>
        </w:rPr>
        <w:t>EDA dashboard: Feature distributions, correlation heatmap, outlier detection</w:t>
      </w:r>
    </w:p>
    <w:p>
      <w:pPr>
        <w:pStyle w:val="ListBullet"/>
      </w:pPr>
      <w:r>
        <w:rPr>
          <w:sz w:val="20"/>
        </w:rPr>
        <w:t>What-If analysis: Adjust feature values and observe predicted outcome change</w:t>
      </w:r>
    </w:p>
    <w:p>
      <w:pPr>
        <w:pStyle w:val="ListBullet"/>
      </w:pPr>
      <w:r>
        <w:rPr>
          <w:sz w:val="20"/>
        </w:rPr>
        <w:t>Demand breakdown: Per-part pivot table segmented by region and dealer code</w:t>
      </w:r>
    </w:p>
    <w:p>
      <w:pPr>
        <w:pStyle w:val="Heading2"/>
        <w:jc w:val="left"/>
      </w:pPr>
      <w:r>
        <w:rPr>
          <w:color w:val="0F2044"/>
        </w:rPr>
        <w:t>4.8 Model Retrain Control (OEM)</w:t>
      </w:r>
    </w:p>
    <w:p>
      <w:pPr>
        <w:pStyle w:val="ListBullet"/>
      </w:pPr>
      <w:r>
        <w:rPr>
          <w:sz w:val="20"/>
        </w:rPr>
        <w:t>Multi-select checkboxes for 8 LightGBM models + 4 EV physics engines</w:t>
      </w:r>
    </w:p>
    <w:p>
      <w:pPr>
        <w:pStyle w:val="ListBullet"/>
      </w:pPr>
      <w:r>
        <w:rPr>
          <w:sz w:val="20"/>
        </w:rPr>
        <w:t>Select All / Clear All controls for batch operations</w:t>
      </w:r>
    </w:p>
    <w:p>
      <w:pPr>
        <w:pStyle w:val="ListBullet"/>
      </w:pPr>
      <w:r>
        <w:rPr>
          <w:sz w:val="20"/>
        </w:rPr>
        <w:t>Training notes text field for documenting the rationale for retraining</w:t>
      </w:r>
    </w:p>
    <w:p>
      <w:pPr>
        <w:pStyle w:val="ListBullet"/>
      </w:pPr>
      <w:r>
        <w:rPr>
          <w:sz w:val="20"/>
        </w:rPr>
        <w:t>Submit triggers background training job with progress tracking</w:t>
      </w:r>
    </w:p>
    <w:p>
      <w:pPr>
        <w:pStyle w:val="ListBullet"/>
      </w:pPr>
      <w:r>
        <w:rPr>
          <w:sz w:val="20"/>
        </w:rPr>
        <w:t>Retrain history table: Model, timestamp, triggered by, status, AUROC before/after</w:t>
      </w:r>
    </w:p>
    <w:p>
      <w:pPr>
        <w:pStyle w:val="Heading1"/>
        <w:jc w:val="left"/>
      </w:pPr>
      <w:r>
        <w:rPr>
          <w:color w:val="0F2044"/>
        </w:rPr>
        <w:t>5.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2044"/>
          </w:tcPr>
          <w:p>
            <w:pPr>
              <w:jc w:val="center"/>
            </w:pPr>
            <w:r>
              <w:rPr>
                <w:b/>
                <w:color w:val="FFFFFF"/>
                <w:sz w:val="18"/>
              </w:rPr>
              <w:t>Requirement</w:t>
            </w:r>
          </w:p>
        </w:tc>
        <w:tc>
          <w:tcPr>
            <w:tcW w:type="dxa" w:w="3135"/>
            <w:shd w:val="clear" w:color="auto" w:fill="0F2044"/>
          </w:tcPr>
          <w:p>
            <w:pPr>
              <w:jc w:val="center"/>
            </w:pPr>
            <w:r>
              <w:rPr>
                <w:b/>
                <w:color w:val="FFFFFF"/>
                <w:sz w:val="18"/>
              </w:rPr>
              <w:t>Target</w:t>
            </w:r>
          </w:p>
        </w:tc>
        <w:tc>
          <w:tcPr>
            <w:tcW w:type="dxa" w:w="3135"/>
            <w:shd w:val="clear" w:color="auto" w:fill="0F2044"/>
          </w:tcPr>
          <w:p>
            <w:pPr>
              <w:jc w:val="center"/>
            </w:pPr>
            <w:r>
              <w:rPr>
                <w:b/>
                <w:color w:val="FFFFFF"/>
                <w:sz w:val="18"/>
              </w:rPr>
              <w:t>Notes</w:t>
            </w:r>
          </w:p>
        </w:tc>
      </w:tr>
      <w:tr>
        <w:tc>
          <w:tcPr>
            <w:tcW w:type="dxa" w:w="3135"/>
          </w:tcPr>
          <w:p>
            <w:r>
              <w:rPr>
                <w:sz w:val="18"/>
              </w:rPr>
              <w:t>Dashboard load time</w:t>
            </w:r>
          </w:p>
        </w:tc>
        <w:tc>
          <w:tcPr>
            <w:tcW w:type="dxa" w:w="3135"/>
          </w:tcPr>
          <w:p>
            <w:r>
              <w:rPr>
                <w:sz w:val="18"/>
              </w:rPr>
              <w:t>&lt; 3s (warm)</w:t>
            </w:r>
          </w:p>
        </w:tc>
        <w:tc>
          <w:tcPr>
            <w:tcW w:type="dxa" w:w="3135"/>
          </w:tcPr>
          <w:p>
            <w:r>
              <w:rPr>
                <w:sz w:val="18"/>
              </w:rPr>
              <w:t>Cold CSV read 55–65s; cached thereafter</w:t>
            </w:r>
          </w:p>
        </w:tc>
      </w:tr>
      <w:tr>
        <w:tc>
          <w:tcPr>
            <w:tcW w:type="dxa" w:w="3135"/>
          </w:tcPr>
          <w:p>
            <w:r>
              <w:rPr>
                <w:sz w:val="18"/>
              </w:rPr>
              <w:t>Alert prediction latency</w:t>
            </w:r>
          </w:p>
        </w:tc>
        <w:tc>
          <w:tcPr>
            <w:tcW w:type="dxa" w:w="3135"/>
          </w:tcPr>
          <w:p>
            <w:r>
              <w:rPr>
                <w:sz w:val="18"/>
              </w:rPr>
              <w:t>&lt; 500ms</w:t>
            </w:r>
          </w:p>
        </w:tc>
        <w:tc>
          <w:tcPr>
            <w:tcW w:type="dxa" w:w="3135"/>
          </w:tcPr>
          <w:p>
            <w:r>
              <w:rPr>
                <w:sz w:val="18"/>
              </w:rPr>
              <w:t>In-memory model inference after warm-up</w:t>
            </w:r>
          </w:p>
        </w:tc>
      </w:tr>
      <w:tr>
        <w:tc>
          <w:tcPr>
            <w:tcW w:type="dxa" w:w="3135"/>
          </w:tcPr>
          <w:p>
            <w:r>
              <w:rPr>
                <w:sz w:val="18"/>
              </w:rPr>
              <w:t>Concurrent users</w:t>
            </w:r>
          </w:p>
        </w:tc>
        <w:tc>
          <w:tcPr>
            <w:tcW w:type="dxa" w:w="3135"/>
          </w:tcPr>
          <w:p>
            <w:r>
              <w:rPr>
                <w:sz w:val="18"/>
              </w:rPr>
              <w:t>50 per dealer</w:t>
            </w:r>
          </w:p>
        </w:tc>
        <w:tc>
          <w:tcPr>
            <w:tcW w:type="dxa" w:w="3135"/>
          </w:tcPr>
          <w:p>
            <w:r>
              <w:rPr>
                <w:sz w:val="18"/>
              </w:rPr>
              <w:t>Single Uvicorn worker; Phase 4 scales to multi-worker</w:t>
            </w:r>
          </w:p>
        </w:tc>
      </w:tr>
      <w:tr>
        <w:tc>
          <w:tcPr>
            <w:tcW w:type="dxa" w:w="3135"/>
          </w:tcPr>
          <w:p>
            <w:r>
              <w:rPr>
                <w:sz w:val="18"/>
              </w:rPr>
              <w:t>Data retention</w:t>
            </w:r>
          </w:p>
        </w:tc>
        <w:tc>
          <w:tcPr>
            <w:tcW w:type="dxa" w:w="3135"/>
          </w:tcPr>
          <w:p>
            <w:r>
              <w:rPr>
                <w:sz w:val="18"/>
              </w:rPr>
              <w:t>24 months rolling</w:t>
            </w:r>
          </w:p>
        </w:tc>
        <w:tc>
          <w:tcPr>
            <w:tcW w:type="dxa" w:w="3135"/>
          </w:tcPr>
          <w:p>
            <w:r>
              <w:rPr>
                <w:sz w:val="18"/>
              </w:rPr>
              <w:t>CSV files rotated monthly</w:t>
            </w:r>
          </w:p>
        </w:tc>
      </w:tr>
      <w:tr>
        <w:tc>
          <w:tcPr>
            <w:tcW w:type="dxa" w:w="3135"/>
          </w:tcPr>
          <w:p>
            <w:r>
              <w:rPr>
                <w:sz w:val="18"/>
              </w:rPr>
              <w:t>Uptime</w:t>
            </w:r>
          </w:p>
        </w:tc>
        <w:tc>
          <w:tcPr>
            <w:tcW w:type="dxa" w:w="3135"/>
          </w:tcPr>
          <w:p>
            <w:r>
              <w:rPr>
                <w:sz w:val="18"/>
              </w:rPr>
              <w:t>99.5%</w:t>
            </w:r>
          </w:p>
        </w:tc>
        <w:tc>
          <w:tcPr>
            <w:tcW w:type="dxa" w:w="3135"/>
          </w:tcPr>
          <w:p>
            <w:r>
              <w:rPr>
                <w:sz w:val="18"/>
              </w:rPr>
              <w:t>Single-server deployment; Phase 4 adds HA</w:t>
            </w:r>
          </w:p>
        </w:tc>
      </w:tr>
      <w:tr>
        <w:tc>
          <w:tcPr>
            <w:tcW w:type="dxa" w:w="3135"/>
          </w:tcPr>
          <w:p>
            <w:r>
              <w:rPr>
                <w:sz w:val="18"/>
              </w:rPr>
              <w:t>WCAG Compliance</w:t>
            </w:r>
          </w:p>
        </w:tc>
        <w:tc>
          <w:tcPr>
            <w:tcW w:type="dxa" w:w="3135"/>
          </w:tcPr>
          <w:p>
            <w:r>
              <w:rPr>
                <w:sz w:val="18"/>
              </w:rPr>
              <w:t>2.1 AA</w:t>
            </w:r>
          </w:p>
        </w:tc>
        <w:tc>
          <w:tcPr>
            <w:tcW w:type="dxa" w:w="3135"/>
          </w:tcPr>
          <w:p>
            <w:r>
              <w:rPr>
                <w:sz w:val="18"/>
              </w:rPr>
              <w:t>axe-core verified; all 8 pages pass</w:t>
            </w:r>
          </w:p>
        </w:tc>
      </w:tr>
      <w:tr>
        <w:tc>
          <w:tcPr>
            <w:tcW w:type="dxa" w:w="3135"/>
          </w:tcPr>
          <w:p>
            <w:r>
              <w:rPr>
                <w:sz w:val="18"/>
              </w:rPr>
              <w:t>Security</w:t>
            </w:r>
          </w:p>
        </w:tc>
        <w:tc>
          <w:tcPr>
            <w:tcW w:type="dxa" w:w="3135"/>
          </w:tcPr>
          <w:p>
            <w:r>
              <w:rPr>
                <w:sz w:val="18"/>
              </w:rPr>
              <w:t>OWASP Top 10 awareness</w:t>
            </w:r>
          </w:p>
        </w:tc>
        <w:tc>
          <w:tcPr>
            <w:tcW w:type="dxa" w:w="3135"/>
          </w:tcPr>
          <w:p>
            <w:r>
              <w:rPr>
                <w:sz w:val="18"/>
              </w:rPr>
              <w:t>5 vulnerabilities documented; remediation in Phase 4</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