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Automation Test Document</w:t>
      </w:r>
    </w:p>
    <w:p/>
    <w:p>
      <w:pPr>
        <w:jc w:val="center"/>
      </w:pPr>
      <w:r>
        <w:rPr>
          <w:i/>
          <w:color w:val="64748B"/>
          <w:sz w:val="28"/>
        </w:rPr>
        <w:t>Test automation strategy, framework design, patterns, and coverage inventory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Automation Strategy</w:t>
      </w:r>
    </w:p>
    <w:p>
      <w:pPr>
        <w:jc w:val="both"/>
      </w:pPr>
      <w:r>
        <w:rPr>
          <w:color w:val="1A202C"/>
          <w:sz w:val="21"/>
        </w:rPr>
        <w:t>AutoPredict uses a three-tier automation strategy: Playwright E2E for browser and API testing, axe-core for automated accessibility, and direct HTTP requests for security testing. No test mocking at the API level — all tests hit the real FastAPI backend with real CSV data.</w:t>
      </w:r>
    </w:p>
    <w:p>
      <w:pPr>
        <w:jc w:val="both"/>
      </w:pPr>
      <w:r>
        <w:rPr>
          <w:color w:val="1A202C"/>
          <w:sz w:val="21"/>
        </w:rPr>
        <w:t>Key principle: Tests that exercise the full stack (React → FastAPI → CSV → LightGBM) find integration bugs that no unit test can catch. The 55–65 second cold CSV read is accepted as the cost of real integration testing.</w:t>
      </w:r>
    </w:p>
    <w:p>
      <w:pPr>
        <w:pStyle w:val="Heading1"/>
        <w:jc w:val="left"/>
      </w:pPr>
      <w:r>
        <w:rPr>
          <w:color w:val="0F2044"/>
        </w:rPr>
        <w:t>2. Test Pyramid</w:t>
      </w:r>
    </w:p>
    <w:p>
      <w:pPr>
        <w:jc w:val="both"/>
      </w:pPr>
      <w:r>
        <w:rPr>
          <w:color w:val="1A202C"/>
          <w:sz w:val="21"/>
        </w:rPr>
        <w:t>The pyramid is intentionally inverted toward integration and E2E: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Security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Playwright + axe-core / Playwright / axe-core / Playwright / pytest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 attack vector tests (no browser)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API Contract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Playwright + axe-core / Playwright / axe-core / Playwright / pytest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Direct HTTP, full stack, no UI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Accessibility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Playwright + axe-core / Playwright / axe-core / Playwright / pytest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axe-core WCAG 2.1 AA scans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UI E2E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Playwright + axe-core / Playwright / axe-core / Playwright / pytest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Browser tests: 11 pages, 5 modules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Playwright + axe-core / Playwright / axe-core / Playwright / pytest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 ML model smoke tests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3. Framework Design</w:t>
      </w:r>
    </w:p>
    <w:p>
      <w:pPr>
        <w:pStyle w:val="Heading2"/>
        <w:jc w:val="left"/>
      </w:pPr>
      <w:r>
        <w:rPr>
          <w:color w:val="0F2044"/>
        </w:rPr>
        <w:t>3.1 Directory Structure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>dealer_portal/e2e/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 xml:space="preserve">  tests/           — 9 spec files (12-security.spec.ts has 59 tests)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 xml:space="preserve">  pages/           — 8 Page Object Models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 xml:space="preserve">  fixtures/        — auth.ts: role-based page fixtures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 xml:space="preserve">  .auth/           — storageState JSON files (gitignored)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 xml:space="preserve">  global-setup.ts  — generates auth state before suite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 xml:space="preserve">  global-teardown.ts — cleans up after suite</w:t>
      </w:r>
    </w:p>
    <w:p>
      <w:pPr>
        <w:pStyle w:val="NoSpacing"/>
        <w:ind w:left="283"/>
      </w:pPr>
      <w:r>
        <w:rPr>
          <w:rFonts w:ascii="Courier New" w:hAnsi="Courier New"/>
          <w:sz w:val="18"/>
        </w:rPr>
        <w:t>dealer_portal/playwright.config.ts — config with workers:1</w:t>
      </w:r>
    </w:p>
    <w:p>
      <w:pPr>
        <w:pStyle w:val="Heading2"/>
        <w:jc w:val="left"/>
      </w:pPr>
      <w:r>
        <w:rPr>
          <w:color w:val="0F2044"/>
        </w:rPr>
        <w:t>3.2 Page Object Model Pattern</w:t>
      </w:r>
    </w:p>
    <w:p>
      <w:pPr>
        <w:jc w:val="both"/>
      </w:pPr>
      <w:r>
        <w:rPr>
          <w:color w:val="1A202C"/>
          <w:sz w:val="21"/>
        </w:rPr>
        <w:t>Every page has a corresponding POM class. Tests import the POM — never raw Playwright locators directly. Each POM provides:</w:t>
      </w:r>
    </w:p>
    <w:p>
      <w:pPr>
        <w:pStyle w:val="ListBullet"/>
      </w:pPr>
      <w:r>
        <w:rPr>
          <w:sz w:val="20"/>
        </w:rPr>
        <w:t>Readonly locator properties (evaluated lazily in constructor)</w:t>
      </w:r>
    </w:p>
    <w:p>
      <w:pPr>
        <w:pStyle w:val="ListBullet"/>
      </w:pPr>
      <w:r>
        <w:rPr>
          <w:sz w:val="20"/>
        </w:rPr>
        <w:t>goto() — standard navigation method</w:t>
      </w:r>
    </w:p>
    <w:p>
      <w:pPr>
        <w:pStyle w:val="ListBullet"/>
      </w:pPr>
      <w:r>
        <w:rPr>
          <w:sz w:val="20"/>
        </w:rPr>
        <w:t>waitFor*() — encapsulates timing logic for that page's data loading behaviour</w:t>
      </w:r>
    </w:p>
    <w:p>
      <w:pPr>
        <w:pStyle w:val="ListBullet"/>
      </w:pPr>
      <w:r>
        <w:rPr>
          <w:sz w:val="20"/>
        </w:rPr>
        <w:t>Action methods (e.g. setSeverity(), selectModel()) — hide implementation details</w:t>
      </w:r>
    </w:p>
    <w:p>
      <w:pPr>
        <w:pStyle w:val="Heading2"/>
        <w:jc w:val="left"/>
      </w:pPr>
      <w:r>
        <w:rPr>
          <w:color w:val="0F2044"/>
        </w:rPr>
        <w:t>3.3 Auth Fixture System</w:t>
      </w:r>
    </w:p>
    <w:p>
      <w:pPr>
        <w:jc w:val="both"/>
      </w:pPr>
      <w:r>
        <w:rPr>
          <w:color w:val="1A202C"/>
          <w:sz w:val="21"/>
        </w:rPr>
        <w:t>4 storageState files are generated once by global-setup.ts before any test runs. The auth fixture (e2e/fixtures/auth.ts) provides typed page fixtures:</w:t>
      </w:r>
    </w:p>
    <w:p>
      <w:pPr>
        <w:pStyle w:val="ListBullet"/>
      </w:pPr>
      <w:r>
        <w:rPr>
          <w:sz w:val="20"/>
        </w:rPr>
        <w:t>dealerPage — authenticated as DL001 dealer</w:t>
      </w:r>
    </w:p>
    <w:p>
      <w:pPr>
        <w:pStyle w:val="ListBullet"/>
      </w:pPr>
      <w:r>
        <w:rPr>
          <w:sz w:val="20"/>
        </w:rPr>
        <w:t>dealer2Page — authenticated as DL002 dealer (for isolation tests)</w:t>
      </w:r>
    </w:p>
    <w:p>
      <w:pPr>
        <w:pStyle w:val="ListBullet"/>
      </w:pPr>
      <w:r>
        <w:rPr>
          <w:sz w:val="20"/>
        </w:rPr>
        <w:t>oemPage — authenticated as OEM analyst</w:t>
      </w:r>
    </w:p>
    <w:p>
      <w:pPr>
        <w:pStyle w:val="ListBullet"/>
      </w:pPr>
      <w:r>
        <w:rPr>
          <w:sz w:val="20"/>
        </w:rPr>
        <w:t>adminPage — authenticated as system administrator</w:t>
      </w:r>
    </w:p>
    <w:p>
      <w:pPr>
        <w:pStyle w:val="Heading1"/>
        <w:jc w:val="left"/>
      </w:pPr>
      <w:r>
        <w:rPr>
          <w:color w:val="0F2044"/>
        </w:rPr>
        <w:t>4. Automation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619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Abort-first for static UI tests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Tests that only check headings/buttons abort DATA_API before navigation. Prevents slow CSV backend requests when data is not needed. Reduces test time from 65s to ~2s for non-data tests.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Load-then-verify for data tests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Tests needing real data skip route.abort() and use waitForData() with 80s timeout. Promise.any() handles pages that can show either data table or empty state.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beforeAll for shared token setup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Security and contract tests obtain auth tokens once in test.beforeAll() and reuse them across all tests in the describe block.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Lenient assertions for informational findings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Security [INFO] tests use expect([200, 404]).toContain(status) — accepts both outcomes, logs a warning, never fails the suite.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[VULN] tests confirm vulnerability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Tests prefixed [VULN] assert HTTP 200 where a secure system would return 403/401. These tests pass to confirm the vulnerability exists.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5. Anti-Patterns Avoided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Anti-Pattern</w:t>
            </w:r>
          </w:p>
        </w:tc>
        <w:tc>
          <w:tcPr>
            <w:tcW w:type="dxa" w:w="5904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Avoided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Glob '**/api/**' for route abort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Matches Vite source file at /src/api/client.ts — prevents React mounting. Use regex instead.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Hardcoded sleep() for waits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Flaky and slow. Use waitFor({ state: "visible" }) with explicit timeout.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Shared browser state between tests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Test pollution. Each test gets fresh page from role fixture.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Login steps in every test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Overhead and auth test failure cascades. Global setup generates storageState once.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Parallel workers with CSV backend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Causes backend queue buildup and 25–45s timeouts. workers:1 always.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actionTimeout in playwright.config.ts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Propagates to APIRequestContext — security tests timeout on slow endpoints. Omit it.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6. CI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 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uvicorn api.main:app --port 8001 &amp;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Start FastAPI server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Frontend build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npm run build &amp;&amp; npm run preview &amp;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 production bundle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Browser install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npx playwright install chromium --with-deps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Install Chromium once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Run suite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npx playwright test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Execute all 174 tests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Upload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Upload playwright-report/ artifact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Post-run HTML report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7. Coverage Gaps</w:t>
      </w:r>
    </w:p>
    <w:p>
      <w:pPr>
        <w:jc w:val="both"/>
      </w:pPr>
      <w:r>
        <w:rPr>
          <w:color w:val="1A202C"/>
          <w:sz w:val="21"/>
        </w:rPr>
        <w:t>Three test files remain to be written: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Missing File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Test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Tests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04-service-bay.spec.ts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Bay grid, booking modal, appointment 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05-inventory.spec.ts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7 tabs, demand forecast, reorder plan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07-oem-models.spec.ts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 cards, EDA sub-tabs, What-If 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