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11C27"/>
  <w:body>
    <w:p>
      <w:pPr>
        <w:spacing w:before="120" w:after="240" w:line="280"/>
      </w:pPr>
      <w:r>
        <w:rPr>
          <w:rFonts w:ascii="Courier New" w:cs="Courier New" w:eastAsia="Courier New" w:hAnsi="Courier New"/>
          <w:b w:val="false"/>
          <w:bCs w:val="false"/>
          <w:color w:val="667A8A"/>
          <w:sz w:val="18"/>
          <w:szCs w:val="18"/>
        </w:rPr>
        <w:t xml:space="preserve">GDP-001  ·  REFERENCES GID-001  ·  ONE SYSTEM, PRODUCT COLOUR VARIATIONS</w:t>
      </w:r>
    </w:p>
    <w:p>
      <w:pPr>
        <w:spacing w:before="0" w:after="80"/>
      </w:pPr>
      <w:r>
        <w:rPr>
          <w:rFonts w:ascii="DM Sans" w:cs="DM Sans" w:eastAsia="DM Sans" w:hAnsi="DM Sans"/>
          <w:b/>
          <w:bCs/>
          <w:color w:val="FFFFFF"/>
          <w:sz w:val="56"/>
          <w:szCs w:val="56"/>
        </w:rPr>
        <w:t xml:space="preserve">Ansai Design Playbook</w:t>
      </w:r>
    </w:p>
    <w:p>
      <w:pPr>
        <w:spacing w:before="0" w:after="200"/>
      </w:pPr>
      <w:r>
        <w:rPr>
          <w:rFonts w:ascii="DM Sans" w:cs="DM Sans" w:eastAsia="DM Sans" w:hAnsi="DM Sans"/>
          <w:color w:val="667A8A"/>
          <w:sz w:val="26"/>
          <w:szCs w:val="26"/>
        </w:rPr>
        <w:t xml:space="preserve">The shared visual and interaction language for every Ansai product.</w:t>
      </w:r>
    </w:p>
    <w:p>
      <w:pPr>
        <w:spacing w:before="0" w:after="16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Every Ansai product inherits this design system. What is fixed here is fixed everywhere — typography, spacing, motion, component philosophy, accessibility. What varies per product is precisely defined: brand colour palettes that slot into the shared token system without breaking it. One family. Distinct identities.</w:t>
      </w:r>
    </w:p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01 — Design philosophy</w:t>
      </w:r>
    </w:p>
    <w:p>
      <w:pPr>
        <w:spacing w:before="160" w:after="160"/>
        <w:ind w:left="720"/>
      </w:pPr>
      <w:r>
        <w:rPr>
          <w:rFonts w:ascii="DM Sans" w:cs="DM Sans" w:eastAsia="DM Sans" w:hAnsi="DM Sans"/>
          <w:b w:val="false"/>
          <w:bCs w:val="false"/>
          <w:i/>
          <w:iCs/>
          <w:color w:val="2DE8E8"/>
          <w:sz w:val="24"/>
          <w:szCs w:val="24"/>
        </w:rPr>
        <w:t xml:space="preserve">"Beauty must not be decoration alone — it must emerge from usefulness."</w:t>
      </w:r>
    </w:p>
    <w:p>
      <w:pPr>
        <w:spacing w:before="0" w:after="16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Every design decision must answer to this belief. If an element exists for decoration alone, it does not belong. If whitespace exists to fill a gap rather than to create focus, it is wrong. If animation exists to impress rather than to confirm an action, it is wrong.</w:t>
      </w:r>
    </w:p>
    <w:p>
      <w:pPr>
        <w:spacing w:before="240" w:after="80" w:line="280"/>
      </w:pPr>
      <w:r>
        <w:rPr>
          <w:rFonts w:ascii="Courier New" w:cs="Courier New" w:eastAsia="Courier New" w:hAnsi="Courier New"/>
          <w:b w:val="false"/>
          <w:bCs w:val="false"/>
          <w:color w:val="2DE8E8"/>
          <w:sz w:val="18"/>
          <w:szCs w:val="18"/>
        </w:rPr>
        <w:t xml:space="preserve">THE ANSAI DESIGN CREED — WHAT WE ALWAYS 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Every component has a reason to exist.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Whitespace is used to create focus, not fill gaps.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Motion explains and confirms — it never decorates.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Hierarchy guides the eye without demanding attention.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The brand has a consistent voice across every surface.</w:t>
      </w:r>
    </w:p>
    <w:p>
      <w:pPr>
        <w:spacing w:before="240" w:after="80" w:line="280"/>
      </w:pPr>
      <w:r>
        <w:rPr>
          <w:rFonts w:ascii="Courier New" w:cs="Courier New" w:eastAsia="Courier New" w:hAnsi="Courier New"/>
          <w:b w:val="false"/>
          <w:bCs w:val="false"/>
          <w:color w:val="2DE8E8"/>
          <w:sz w:val="18"/>
          <w:szCs w:val="18"/>
        </w:rPr>
        <w:t xml:space="preserve">WHAT WE NEVER 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Animations that distract without purpose.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Design that makes the user feel uncertain about what to do next.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Information hidden behind hover states or interactions that are not discoverable.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Trend-chasing that ages the product in twelve months.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Complexity that exists to look sophisticated rather than to serve the user.</w:t>
      </w:r>
    </w:p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02 — Typography — fixed, never varies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Display and body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DM Sans — weights 300 (light), 400 (regular), 500 (medium), 600 (semibold). No other weights. No other display or body typeface in any Ansai product.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Data and code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DM Mono — weights 400 (regular), 500 (medium). Used for: numbers, code, metadata, labels, monospaced display. Never for body copy.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Third typeface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Never. Two typefaces. Two purposes. Mixing a third typeface into any Ansai product is a design violation.</w:t>
            </w:r>
          </w:p>
        </w:tc>
      </w:tr>
    </w:tbl>
    <w:p>
      <w:pPr>
        <w:spacing w:before="80" w:after="12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spacing w:before="240" w:after="80" w:line="280"/>
      </w:pPr>
      <w:r>
        <w:rPr>
          <w:rFonts w:ascii="Courier New" w:cs="Courier New" w:eastAsia="Courier New" w:hAnsi="Courier New"/>
          <w:b w:val="false"/>
          <w:bCs w:val="false"/>
          <w:color w:val="2DE8E8"/>
          <w:sz w:val="18"/>
          <w:szCs w:val="18"/>
        </w:rPr>
        <w:t xml:space="preserve">TYPE SCALE — FIXED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Display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clamp(48px, 6.5vw, 82px) — weight 300 with bold span for key word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Heading 1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clamp(30px, 3.5vw, 44px) — weight 300, key words bold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Heading 2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28px — weight 500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Heading 3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22px — weight 500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Body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16px — weight 400 — line-height 1.7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Small/label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13px — weight 400 or 500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Mono/data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DM Mono 11–13px — weight 400 or 500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Minimum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11px. Never smaller.</w:t>
            </w:r>
          </w:p>
        </w:tc>
      </w:tr>
    </w:tbl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03 — Spacing — fixed, never varies</w:t>
      </w:r>
    </w:p>
    <w:p>
      <w:pPr>
        <w:spacing w:before="0" w:after="16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Spacing is based on a 4px base unit. All spacing values are multiples of 4. This creates visual rhythm that is consistent across every Ansai product regardless of the brand colour.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4px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sp-1 — micro spacing. Icon-to-label gaps.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8px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sp-2 — tight spacing. Internal component padding.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12px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sp-3 — compact spacing. Related elements.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16px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sp-4 — standard spacing. Default gap between items.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24px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sp-6 — comfortable spacing. Card padding.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32px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sp-8 — relaxed spacing. Section internal padding.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48px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sp-12 — generous spacing. Between major sections.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64px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sp-16 — expansive spacing. Hero sections.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88px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sp-22 — maximum section padding.</w:t>
            </w:r>
          </w:p>
        </w:tc>
      </w:tr>
    </w:tbl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04 — The token system</w:t>
      </w:r>
    </w:p>
    <w:p>
      <w:pPr>
        <w:spacing w:before="0" w:after="16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Tokens are the bridge between the shared design system and the product-specific brand identity. Global tokens never change. Product tokens are the controlled variation point.</w:t>
      </w:r>
    </w:p>
    <w:p>
      <w:pPr>
        <w:spacing w:before="240" w:after="80" w:line="280"/>
      </w:pPr>
      <w:r>
        <w:rPr>
          <w:rFonts w:ascii="Courier New" w:cs="Courier New" w:eastAsia="Courier New" w:hAnsi="Courier New"/>
          <w:b w:val="false"/>
          <w:bCs w:val="false"/>
          <w:color w:val="2DE8E8"/>
          <w:sz w:val="18"/>
          <w:szCs w:val="18"/>
        </w:rPr>
        <w:t xml:space="preserve">GLOBAL TOKENS — FIXED ACROSS ALL ANSAI PRODUCTS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The main text colour. Adapts to light/dark mode automatically.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Muted text — descriptions, subtitles, helper text.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--color-text-tertiary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Hint text, placeholder text, disabled states.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--color-bg-primary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Page background.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--color-bg-secondary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Card and surface background (+1 elevation).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--color-bg-tertiary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Highlighted surface background (+2 elevation).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Default border — rgba(255,255,255,0.08) in dark mode.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#34d399 — success states. Fixed. Never use brand colour for success.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#fbbf24 — warning states. Fixed.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--color-error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#f87171 — error states. Fixed.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--font-sans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DM Sans — body and display.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DM Mono — data and code.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8px — subtle corners.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12px — standard card radius.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16px — hero elements.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--radius-xl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20px — large containers.</w:t>
            </w:r>
          </w:p>
        </w:tc>
      </w:tr>
    </w:tbl>
    <w:p>
      <w:pPr>
        <w:spacing w:before="80" w:after="12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spacing w:before="240" w:after="80" w:line="280"/>
      </w:pPr>
      <w:r>
        <w:rPr>
          <w:rFonts w:ascii="Courier New" w:cs="Courier New" w:eastAsia="Courier New" w:hAnsi="Courier New"/>
          <w:b w:val="false"/>
          <w:bCs w:val="false"/>
          <w:color w:val="2DE8E8"/>
          <w:sz w:val="18"/>
          <w:szCs w:val="18"/>
        </w:rPr>
        <w:t xml:space="preserve">PRODUCT TOKENS — THE VARIATION POINT</w:t>
      </w:r>
    </w:p>
    <w:p>
      <w:pPr>
        <w:spacing w:before="0" w:after="16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Each Ansai product defines its own brand tokens. These slot into the shared system without changing any global token. The result: every product looks like it belongs to the same family but is immediately visually distinct.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--brand-primary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The product's primary brand colour. Used for: CTAs, active states, data highlights, the product gradient. Never used for semantic meaning (success/warning/error).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--brand-secondary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The product's secondary brand colour. Used for: gradient endpoint, accent elements.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--brand-gradient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The product's signature gradient. linear-gradient(145deg, var(--brand-primary) 0%, var(--brand-secondary) 100%).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--brand-glow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rgba version of brand-primary at 0.2 opacity. Used for button shadows, focused states.</w:t>
            </w:r>
          </w:p>
        </w:tc>
      </w:tr>
    </w:tbl>
    <w:p>
      <w:pPr>
        <w:spacing w:before="80" w:after="12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spacing w:before="240" w:after="80" w:line="280"/>
      </w:pPr>
      <w:r>
        <w:rPr>
          <w:rFonts w:ascii="Courier New" w:cs="Courier New" w:eastAsia="Courier New" w:hAnsi="Courier New"/>
          <w:b w:val="false"/>
          <w:bCs w:val="false"/>
          <w:color w:val="2DE8E8"/>
          <w:sz w:val="18"/>
          <w:szCs w:val="18"/>
        </w:rPr>
        <w:t xml:space="preserve">CURRENT PRODUCT PALETTES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EduManage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--brand-primary: #2de8e8 (cyan) | --brand-secondary: #1c5cf5 (blue) | --brand-gradient: linear-gradient(145deg, #2de8e8 0%, #1c5cf5 100%)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AgriX (future)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--brand-primary: #34d399 (green) | --brand-secondary: #059669 | Reserved. Not yet implemented.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Health (future)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--brand-primary: #f59e0b (amber) | --brand-secondary: #d97706 | Reserved. Not yet implemented.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Transport (future)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--brand-primary: #6366f1 (indigo) | --brand-secondary: #4f46e5 | Reserved. Not yet implemented.</w:t>
            </w:r>
          </w:p>
        </w:tc>
      </w:tr>
    </w:tbl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05 — Motion — fixed principles, never varies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Motion explains and confirms. Every animation must answer: what does this teach the user about the system? Decorative motion is rejected.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Physics-based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Animations feel real because they respect physical weight and momentum. Nothing appears or disappears instantly — it arrives and departs.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Reduced motion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Every animation is wrapped in @media (prefers-reduced-motion: no-preference). Users who have requested reduced motion see no animation.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Duration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Micro-interactions: 100–200ms. Transitions: 200–350ms. Page transitions: 350–500ms. Nothing longer than 500ms for UI feedback.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Easing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ease-out for entrances (decelerating into position). ease-in for exits. cubic-bezier(0.34, 1.56, 0.64, 1) for spring effects.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No gradients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Gradients flash during streaming DOM updates. Use solid flat fills. The brand gradient is the single exception — used only on the mark, CTAs, and data highlights.</w:t>
            </w:r>
          </w:p>
        </w:tc>
      </w:tr>
    </w:tbl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06 — Component philosophy — fixed, never varies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Flat surfaces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No gradients, mesh backgrounds, noise textures, or decorative effects on surfaces. Clean flat fills. The brand gradient is the only gradient permitted.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No drop shadows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No drop shadows on cards, modals, or components. Elevation is expressed through background colour differences (bg-primary → bg-secondary → bg-tertiary), not shadows.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Consistent use of the radius scale. Cards: --radius-md (12px). Hero containers: --radius-lg (16px). Buttons: --radius-sm (8px). Pills: 100px. Never arbitrary values.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Dark mode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Every component must work in both dark and light mode. Use CSS variables — never hardcoded colour values. Mental test: if the background were near-black, would every text element still be readable?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WCAG AA minimum contrast for all text. Focus states visible on all interactive elements. No information conveyed by colour alone. Screen reader labels on all icons.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Sentence case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Always. Never Title Case in UI copy. Never ALL CAPS except for mono labels (document IDs, metadata). This applies everywhere.</w:t>
            </w:r>
          </w:p>
        </w:tc>
      </w:tr>
    </w:tbl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07 — Logo and mark — fixed, never varies</w:t>
      </w:r>
    </w:p>
    <w:p>
      <w:pPr>
        <w:spacing w:before="0" w:after="16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>The Ansai mark is two geometric strokes — a deconstructed upward arrow — in the brand gradient. It is the only brand element that must never change. All product marks derive from the Ansai mark as their parent identity.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Gradient direction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Always top-right cyan to bottom-left blue. Never flipped, rotated, or reversed.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Clear space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Maintain 1× mark height on all sides. Nothing enters this space.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Minimum size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24px for digital use. Never smaller.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Never do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Flip, rotate, recolour, stretch, apply drop shadows, use in isolation from its gradient, or place on a background with insufficient contrast.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Product marks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Each product may have its own wordmark alongside the Ansai parent mark. The Ansai mark appears in the footer of every product. The product mark appears in the header.</w:t>
            </w:r>
          </w:p>
        </w:tc>
      </w:tr>
    </w:tbl>
    <w:p>
      <w:pPr>
        <w:pBdr>
          <w:bottom w:val="single" w:color="1E3040" w:sz="4"/>
        </w:pBdr>
        <w:spacing w:before="200" w:after="20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pStyle w:val="Heading1"/>
        <w:pBdr>
          <w:bottom w:val="single" w:color="2DE8E8" w:sz="4"/>
        </w:pBdr>
        <w:spacing w:before="480" w:after="160"/>
      </w:pPr>
      <w:r>
        <w:rPr>
          <w:rFonts w:ascii="DM Sans" w:cs="DM Sans" w:eastAsia="DM Sans" w:hAnsi="DM Sans"/>
          <w:b/>
          <w:bCs/>
          <w:color w:val="FFFFFF"/>
          <w:sz w:val="40"/>
          <w:szCs w:val="40"/>
        </w:rPr>
        <w:t xml:space="preserve">08 — Document control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GDP-001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Parent doc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GID-001 — Ansai Group Identity Document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Source files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ansai-brand-system-v3.html — the authoritative brand system file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Founder — until a design lead is hired</w:t>
            </w:r>
          </w:p>
        </w:tc>
      </w:tr>
      <w:tr>
        <w:tc>
          <w:tcPr>
            <w:tcW w:type="dxa" w:w="2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Courier New" w:cs="Courier New" w:eastAsia="Courier New" w:hAnsi="Courier New"/>
                <w:b/>
                <w:bCs/>
                <w:color w:val="2DE8E8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72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 w:line="280"/>
            </w:pPr>
            <w:r>
              <w:rPr>
                <w:rFonts w:ascii="DM Sans" w:cs="DM Sans" w:eastAsia="DM Sans" w:hAnsi="DM Sans"/>
                <w:b w:val="false"/>
                <w:bCs w:val="false"/>
                <w:color w:val="B3C2CD"/>
                <w:sz w:val="22"/>
                <w:szCs w:val="22"/>
              </w:rPr>
              <w:t xml:space="preserve">When a new product is added to Ansai Group — to register its brand tokens</w:t>
            </w:r>
          </w:p>
        </w:tc>
      </w:tr>
    </w:tbl>
    <w:p>
      <w:pPr>
        <w:spacing w:before="120" w:after="120" w:line="280"/>
      </w:pPr>
      <w:r>
        <w:rPr>
          <w:rFonts w:ascii="DM Sans" w:cs="DM Sans" w:eastAsia="DM Sans" w:hAnsi="DM Sans"/>
          <w:b w:val="false"/>
          <w:bCs w:val="false"/>
          <w:color w:val="B3C2CD"/>
          <w:sz w:val="22"/>
          <w:szCs w:val="22"/>
        </w:rPr>
        <w:t xml:space="preserve"/>
      </w:r>
    </w:p>
    <w:p>
      <w:pPr>
        <w:spacing w:before="0" w:after="120" w:line="280"/>
      </w:pPr>
      <w:r>
        <w:rPr>
          <w:rFonts w:ascii="Courier New" w:cs="Courier New" w:eastAsia="Courier New" w:hAnsi="Courier New"/>
          <w:b w:val="false"/>
          <w:bCs w:val="false"/>
          <w:color w:val="667A8A"/>
          <w:sz w:val="18"/>
          <w:szCs w:val="18"/>
        </w:rPr>
        <w:t xml:space="preserve">Ansai Technologies  ·  Design Playbook  ·  GDP-001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040" w:sz="4"/>
      </w:pBdr>
      <w:tabs>
        <w:tab w:val="right" w:pos="9026"/>
      </w:tabs>
      <w:spacing w:before="0"/>
    </w:pPr>
    <w:r>
      <w:rPr>
        <w:rFonts w:ascii="Courier New" w:cs="Courier New" w:eastAsia="Courier New" w:hAnsi="Courier New"/>
        <w:b w:val="false"/>
        <w:bCs w:val="false"/>
        <w:color w:val="667A8A"/>
        <w:sz w:val="16"/>
        <w:szCs w:val="16"/>
      </w:rPr>
      <w:t xml:space="preserve">v1.0 — March 2026</w:t>
    </w:r>
    <w:r>
      <w:rPr>
        <w:rFonts w:ascii="DM Sans" w:cs="DM Sans" w:eastAsia="DM Sans" w:hAnsi="DM Sans"/>
      </w:rPr>
      <w:t xml:space="preserve">	</w:t>
    </w:r>
    <w:r>
      <w:rPr>
        <w:rFonts w:ascii="Courier New" w:cs="Courier New" w:eastAsia="Courier New" w:hAnsi="Courier New"/>
        <w:b w:val="false"/>
        <w:bCs w:val="false"/>
        <w:color w:val="667A8A"/>
        <w:sz w:val="16"/>
        <w:szCs w:val="16"/>
      </w:rPr>
      <w:t xml:space="preserve">Page </w:t>
    </w:r>
    <w:r>
      <w:rPr>
        <w:rFonts w:ascii="Courier New" w:cs="Courier New" w:eastAsia="Courier New" w:hAnsi="Courier New"/>
        <w:color w:val="667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040" w:sz="4"/>
      </w:pBdr>
      <w:spacing w:after="0"/>
    </w:pPr>
    <w:r>
      <w:rPr>
        <w:rFonts w:ascii="Courier New" w:cs="Courier New" w:eastAsia="Courier New" w:hAnsi="Courier New"/>
        <w:b w:val="false"/>
        <w:bCs w:val="false"/>
        <w:color w:val="667A8A"/>
        <w:sz w:val="16"/>
        <w:szCs w:val="16"/>
      </w:rPr>
      <w:t xml:space="preserve">ANSAI TECHNOLOGIES</w:t>
    </w:r>
    <w:r>
      <w:rPr>
        <w:rFonts w:ascii="DM Sans" w:cs="DM Sans" w:eastAsia="DM Sans" w:hAnsi="DM Sans"/>
        <w:color w:val="1E3040"/>
        <w:sz w:val="16"/>
        <w:szCs w:val="16"/>
      </w:rPr>
      <w:t xml:space="preserve">   ·   </w:t>
    </w:r>
    <w:r>
      <w:rPr>
        <w:rFonts w:ascii="Courier New" w:cs="Courier New" w:eastAsia="Courier New" w:hAnsi="Courier New"/>
        <w:b w:val="false"/>
        <w:bCs w:val="false"/>
        <w:color w:val="667A8A"/>
        <w:sz w:val="16"/>
        <w:szCs w:val="16"/>
      </w:rPr>
      <w:t xml:space="preserve">DESIGN PLAYBOOK — GDP-001</w:t>
    </w:r>
    <w:r>
      <w:rPr>
        <w:rFonts w:ascii="DM Sans" w:cs="DM Sans" w:eastAsia="DM Sans" w:hAnsi="DM Sans"/>
        <w:color w:val="1E3040"/>
        <w:sz w:val="16"/>
        <w:szCs w:val="16"/>
      </w:rPr>
      <w:t xml:space="preserve">   ·   </w:t>
    </w:r>
    <w:r>
      <w:rPr>
        <w:rFonts w:ascii="Courier New" w:cs="Courier New" w:eastAsia="Courier New" w:hAnsi="Courier New"/>
        <w:b w:val="false"/>
        <w:bCs w:val="false"/>
        <w:color w:val="F87171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DM Sans" w:cs="DM Sans" w:eastAsia="DM Sans" w:hAnsi="DM Sans"/>
        <w:color w:val="2DE8E8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DM Sans" w:cs="DM Sans" w:eastAsia="DM Sans" w:hAnsi="DM Sans"/>
        <w:color w:val="2DE8E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B3C2C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DM Sans" w:cs="DM Sans" w:eastAsia="DM Sans" w:hAnsi="DM Sans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DM Sans" w:cs="DM Sans" w:eastAsia="DM Sans" w:hAnsi="DM Sans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DM Sans" w:cs="DM Sans" w:eastAsia="DM Sans" w:hAnsi="DM Sans"/>
      <w:b/>
      <w:bCs/>
      <w:color w:val="2DE8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2026-03-21T22:04:23.624Z</dcterms:created>
  <dcterms:modified xsi:type="dcterms:W3CDTF">2026-03-21T22:04:23.624Z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