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11C27"/>
  <w:body>
    <w:p>
      <w:pPr>
        <w:spacing w:before="120" w:after="240" w:line="280"/>
      </w:pPr>
      <w:r>
        <w:rPr>
          <w:rFonts w:ascii="Courier New" w:cs="Courier New" w:eastAsia="Courier New" w:hAnsi="Courier New"/>
          <w:b w:val="false"/>
          <w:bCs w:val="false"/>
          <w:color w:val="667A8A"/>
          <w:sz w:val="18"/>
          <w:szCs w:val="18"/>
        </w:rPr>
        <w:t xml:space="preserve">GFP-001  ·  REFERENCES GID-001  ·  MAXIMUM DETAIL</w:t>
      </w:r>
    </w:p>
    <w:p>
      <w:pPr>
        <w:spacing w:before="0" w:after="80"/>
      </w:pPr>
      <w:r>
        <w:rPr>
          <w:rFonts w:ascii="DM Sans" w:cs="DM Sans" w:eastAsia="DM Sans" w:hAnsi="DM Sans"/>
          <w:b/>
          <w:bCs/>
          <w:color w:val="FFFFFF"/>
          <w:sz w:val="56"/>
          <w:szCs w:val="56"/>
        </w:rPr>
        <w:t xml:space="preserve">Ansai Financial Philosophy</w:t>
      </w:r>
    </w:p>
    <w:p>
      <w:pPr>
        <w:spacing w:before="0" w:after="400"/>
      </w:pPr>
      <w:r>
        <w:rPr>
          <w:rFonts w:ascii="DM Sans" w:cs="DM Sans" w:eastAsia="DM Sans" w:hAnsi="DM Sans"/>
          <w:color w:val="667A8A"/>
          <w:sz w:val="26"/>
          <w:szCs w:val="26"/>
        </w:rPr>
        <w:t xml:space="preserve">Financial standards, equity structure, pricing philosophy, and capital allocation across Ansai Group.</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01 — The financial philosophy</w:t>
      </w:r>
    </w:p>
    <w:p>
      <w:pPr>
        <w:spacing w:before="0" w:after="160" w:line="280"/>
      </w:pPr>
      <w:r>
        <w:rPr>
          <w:rFonts w:ascii="DM Sans" w:cs="DM Sans" w:eastAsia="DM Sans" w:hAnsi="DM Sans"/>
          <w:b w:val="false"/>
          <w:bCs w:val="false"/>
          <w:color w:val="B3C2CD"/>
          <w:sz w:val="22"/>
          <w:szCs w:val="22"/>
        </w:rPr>
        <w:t xml:space="preserve">Ansai builds infrastructure. Infrastructure companies are built differently from consumer apps. They grow slower, earn deeper trust, and command better retention. The financial philosophy reflects this: we optimise for depth of institutional dependency, not breadth of user acquisition.</w:t>
      </w:r>
    </w:p>
    <w:p>
      <w:pPr>
        <w:spacing w:before="240" w:after="80" w:line="280"/>
      </w:pPr>
      <w:r>
        <w:rPr>
          <w:rFonts w:ascii="Courier New" w:cs="Courier New" w:eastAsia="Courier New" w:hAnsi="Courier New"/>
          <w:b w:val="false"/>
          <w:bCs w:val="false"/>
          <w:color w:val="2DE8E8"/>
          <w:sz w:val="18"/>
          <w:szCs w:val="18"/>
        </w:rPr>
        <w:t xml:space="preserve">THE THREE FINANCIAL PRINCIPLES</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Depth over breadth</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Ten schools that depend on EduManage daily are worth more than a hundred schools that log in monthly. Revenue quality matters more than revenue quantity at this stage.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Transparency always</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Every person who joins Ansai knows the financial situation honestly. Revenue, runway, burn, costs — shared with the team. A team that knows the financial reality makes better decisions than one that does not.</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Infrastructure pricing</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We do not price like a SaaS tool. We price like infrastructure — predictable, affordable relative to the value delivered, structured around the institution's operating cycles.</w:t>
            </w:r>
          </w:p>
        </w:tc>
      </w:tr>
    </w:tbl>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02 — Product cost centres</w:t>
      </w:r>
    </w:p>
    <w:p>
      <w:pPr>
        <w:spacing w:before="0" w:after="160" w:line="280"/>
      </w:pPr>
      <w:r>
        <w:rPr>
          <w:rFonts w:ascii="DM Sans" w:cs="DM Sans" w:eastAsia="DM Sans" w:hAnsi="DM Sans"/>
          <w:b w:val="false"/>
          <w:bCs w:val="false"/>
          <w:color w:val="B3C2CD"/>
          <w:sz w:val="22"/>
          <w:szCs w:val="22"/>
        </w:rPr>
        <w:t xml:space="preserve">Every Ansai product operates as its own cost centre from its first transaction. This is a bookkeeping discipline, not a legal structure. It enables clean financial history for each product, supports future spinout accounting, and makes product-level profitability visible.</w:t>
      </w:r>
    </w:p>
    <w:p>
      <w:pPr>
        <w:spacing w:before="240" w:after="80" w:line="280"/>
      </w:pPr>
      <w:r>
        <w:rPr>
          <w:rFonts w:ascii="Courier New" w:cs="Courier New" w:eastAsia="Courier New" w:hAnsi="Courier New"/>
          <w:b w:val="false"/>
          <w:bCs w:val="false"/>
          <w:color w:val="2DE8E8"/>
          <w:sz w:val="18"/>
          <w:szCs w:val="18"/>
        </w:rPr>
        <w:t xml:space="preserve">EDUMANAGE COST CENTRE</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Revenue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All school subscription fees, implementation fees, and M-PESA integration transaction fees attributed to EduManage.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Direct costs</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Hosting (Railway / Azure), storage (Azure Blob), SMS (Africa's Talking), SendGrid email, M-PESA Daraja API costs attributed to EduManage.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Shared costs</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Ansai Group overhead (legal, accounting, founder salary) allocated to EduManage on a percentage basis until a second product exists.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Reporting</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Monthly P&amp;L per product. Quarterly review against the financial model. Visible to all team members within the product.</w:t>
            </w:r>
          </w:p>
        </w:tc>
      </w:tr>
    </w:tbl>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03 — Pricing philosophy</w:t>
      </w:r>
    </w:p>
    <w:p>
      <w:pPr>
        <w:spacing w:before="0" w:after="160" w:line="280"/>
      </w:pPr>
      <w:r>
        <w:rPr>
          <w:rFonts w:ascii="DM Sans" w:cs="DM Sans" w:eastAsia="DM Sans" w:hAnsi="DM Sans"/>
          <w:b w:val="false"/>
          <w:bCs w:val="false"/>
          <w:color w:val="B3C2CD"/>
          <w:sz w:val="22"/>
          <w:szCs w:val="22"/>
        </w:rPr>
        <w:t xml:space="preserve">EduManage is priced for the African secondary school market. Not borrowed from a Western SaaS pricing model. Not adjusted from an enterprise education software contract. Designed from first principles around what Kenyan schools can actually afford and what the product is worth to them operationally.</w:t>
      </w:r>
    </w:p>
    <w:p>
      <w:pPr>
        <w:spacing w:before="240" w:after="80" w:line="280"/>
      </w:pPr>
      <w:r>
        <w:rPr>
          <w:rFonts w:ascii="Courier New" w:cs="Courier New" w:eastAsia="Courier New" w:hAnsi="Courier New"/>
          <w:b w:val="false"/>
          <w:bCs w:val="false"/>
          <w:color w:val="2DE8E8"/>
          <w:sz w:val="18"/>
          <w:szCs w:val="18"/>
        </w:rPr>
        <w:t xml:space="preserve">PRICING PRINCIPLES</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Price against the cost we replace, not the cost of the software we compete with. A school that replaces manual fee reconciliation saves 10 hours per week of bursar time. That is the value. Price against it.</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Align pricing with school operating cycles. Schools collect fees in three terms. Subscription billing should align with term cycles, not calendar months.</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Government schools have different budget structures than private schools. Pricing tiers must reflect this difference without compromising revenue quality.</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Expansion revenue is the model. A school that onboards EduManage for fee management should naturally expand to attendance, then academics, then parent portal. Pricing must make expansion easy, not painful.</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Never price yourself out of trust. In the first twelve months, the goal is institutional dependency, not maximum revenue. A school that depends on EduManage and pays a fair price is more valuable than a school that was priced aggressively and churns.</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04 — Equity philosophy</w:t>
      </w:r>
    </w:p>
    <w:p>
      <w:pPr>
        <w:spacing w:before="0" w:after="160" w:line="280"/>
      </w:pPr>
      <w:r>
        <w:rPr>
          <w:rFonts w:ascii="DM Sans" w:cs="DM Sans" w:eastAsia="DM Sans" w:hAnsi="DM Sans"/>
          <w:b w:val="false"/>
          <w:bCs w:val="false"/>
          <w:color w:val="B3C2CD"/>
          <w:sz w:val="22"/>
          <w:szCs w:val="22"/>
        </w:rPr>
        <w:t xml:space="preserve">This section must be written and agreed before the first hire conversation begins. Equity conversations are the ones founders avoid longest. Avoiding them creates confusion, resentment, and legal risk. Ansai resolves them before they arise.</w:t>
      </w:r>
    </w:p>
    <w:p>
      <w:pPr>
        <w:spacing w:before="240" w:after="80" w:line="280"/>
      </w:pPr>
      <w:r>
        <w:rPr>
          <w:rFonts w:ascii="Courier New" w:cs="Courier New" w:eastAsia="Courier New" w:hAnsi="Courier New"/>
          <w:b w:val="false"/>
          <w:bCs w:val="false"/>
          <w:color w:val="2DE8E8"/>
          <w:sz w:val="18"/>
          <w:szCs w:val="18"/>
        </w:rPr>
        <w:t xml:space="preserve">THE STRUCTURE</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Founder equity</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Founder holds controlling equity in Ansai Technologies. Specific percentage determined by legal incorporation structure.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Employee equity pool</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 defined percentage of Ansai Technologies equity is reserved for employees before any external investment. The pool is established at incorporation, not at first hire.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Vesting schedule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Four-year vesting with a one-year cliff. Standard for all equity grants. Anyone who leaves in year one gets nothing. Anyone who stays gets proportional ownership. This protects both the company and the team.</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Cliff rationale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The one-year cliff is not punitive. It is the minimum period to determine whether a hire is genuinely contributing to the mission. Equity without a cliff is equity without accountability.</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Dilution transparency</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Every equity holder is told what dilution means before they accept their grant. When Ansai raises external capital, existing equity is diluted. This is expected. It is explained in advance.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Departure protocol</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Unvested equity returns to the pool on departure. Vested equity is retained. The distinction between voluntary departure and termination for cause is documented in the employment agreement.</w:t>
            </w:r>
          </w:p>
        </w:tc>
      </w:tr>
    </w:tbl>
    <w:p>
      <w:pPr>
        <w:spacing w:before="80" w:after="120" w:line="280"/>
      </w:pPr>
      <w:r>
        <w:rPr>
          <w:rFonts w:ascii="DM Sans" w:cs="DM Sans" w:eastAsia="DM Sans" w:hAnsi="DM Sans"/>
          <w:b w:val="false"/>
          <w:bCs w:val="false"/>
          <w:color w:val="B3C2CD"/>
          <w:sz w:val="22"/>
          <w:szCs w:val="22"/>
        </w:rPr>
        <w:t xml:space="preserve"/>
      </w:r>
    </w:p>
    <w:p>
      <w:pPr>
        <w:spacing w:before="240" w:after="80" w:line="280"/>
      </w:pPr>
      <w:r>
        <w:rPr>
          <w:rFonts w:ascii="Courier New" w:cs="Courier New" w:eastAsia="Courier New" w:hAnsi="Courier New"/>
          <w:b w:val="false"/>
          <w:bCs w:val="false"/>
          <w:color w:val="2DE8E8"/>
          <w:sz w:val="18"/>
          <w:szCs w:val="18"/>
        </w:rPr>
        <w:t xml:space="preserve">THE HONEST COMPENSATION CONVERSATION</w:t>
      </w:r>
    </w:p>
    <w:p>
      <w:pPr>
        <w:spacing w:before="0" w:after="160" w:line="280"/>
      </w:pPr>
      <w:r>
        <w:rPr>
          <w:rFonts w:ascii="DM Sans" w:cs="DM Sans" w:eastAsia="DM Sans" w:hAnsi="DM Sans"/>
          <w:b w:val="false"/>
          <w:bCs w:val="false"/>
          <w:color w:val="B3C2CD"/>
          <w:sz w:val="22"/>
          <w:szCs w:val="22"/>
        </w:rPr>
        <w:t xml:space="preserve">Every offer to a new hire includes an explicit statement: Ansai is paying below-market salaries until the first external funding round. This is not hidden. It is stated clearly at the beginning of every conversation. A candidate who cannot accept this should not receive an offer, and the conversation should end there without resentment from either side.</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05 — Capital allocation</w:t>
      </w:r>
    </w:p>
    <w:p>
      <w:pPr>
        <w:spacing w:before="240" w:after="80" w:line="280"/>
      </w:pPr>
      <w:r>
        <w:rPr>
          <w:rFonts w:ascii="Courier New" w:cs="Courier New" w:eastAsia="Courier New" w:hAnsi="Courier New"/>
          <w:b w:val="false"/>
          <w:bCs w:val="false"/>
          <w:color w:val="2DE8E8"/>
          <w:sz w:val="18"/>
          <w:szCs w:val="18"/>
        </w:rPr>
        <w:t xml:space="preserve">PRIORITY ORDER FOR DEPLOYING CAPITAL</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1 — Product infrastructure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Domain, hosting, email, storage, CI/CD tooling. The foundation that makes everything else possible. This has first call on any available capital.</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2 — Direct school costs</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Onboarding visits, demo environment, marketing site. The tools for earning the first paying schools.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3 — People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The first two hires. Paid below market with equity. Equity compensates the gap between what we pay and what the market pays.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4 — Growth</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SMS, M-PESA integration costs, partnership development. Only after the product is stable and the first schools are paying.</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5 — Ansai Group overhead</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Legal, accounting, compliance. Minimum viable at each stage. Never over-invested before the product and team are in place.</w:t>
            </w:r>
          </w:p>
        </w:tc>
      </w:tr>
    </w:tbl>
    <w:p>
      <w:pPr>
        <w:spacing w:before="80" w:after="120" w:line="280"/>
      </w:pPr>
      <w:r>
        <w:rPr>
          <w:rFonts w:ascii="DM Sans" w:cs="DM Sans" w:eastAsia="DM Sans" w:hAnsi="DM Sans"/>
          <w:b w:val="false"/>
          <w:bCs w:val="false"/>
          <w:color w:val="B3C2CD"/>
          <w:sz w:val="22"/>
          <w:szCs w:val="22"/>
        </w:rPr>
        <w:t xml:space="preserve"/>
      </w:r>
    </w:p>
    <w:p>
      <w:pPr>
        <w:spacing w:before="240" w:after="80" w:line="280"/>
      </w:pPr>
      <w:r>
        <w:rPr>
          <w:rFonts w:ascii="Courier New" w:cs="Courier New" w:eastAsia="Courier New" w:hAnsi="Courier New"/>
          <w:b w:val="false"/>
          <w:bCs w:val="false"/>
          <w:color w:val="2DE8E8"/>
          <w:sz w:val="18"/>
          <w:szCs w:val="18"/>
        </w:rPr>
        <w:t xml:space="preserve">CLOUD CREDITS STRATEGY</w:t>
      </w:r>
    </w:p>
    <w:p>
      <w:pPr>
        <w:spacing w:before="0" w:after="160" w:line="280"/>
      </w:pPr>
      <w:r>
        <w:rPr>
          <w:rFonts w:ascii="DM Sans" w:cs="DM Sans" w:eastAsia="DM Sans" w:hAnsi="DM Sans"/>
          <w:b w:val="false"/>
          <w:bCs w:val="false"/>
          <w:color w:val="B3C2CD"/>
          <w:sz w:val="22"/>
          <w:szCs w:val="22"/>
        </w:rPr>
        <w:t xml:space="preserve">Ansai actively pursues cloud startup credits before spending any cash on infrastructure. Google for Startups ($200,000 Azure equivalent), Microsoft Founders Hub (up to $150,000 in Azure credits), and AWS Activate are all targeted. Azure for Students ($100) covers development and staging. No production school data on the student account — production moves to Founders Hub credits or pay-as-you-go when the first school onboards.</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06 — Financial reporting standard</w:t>
      </w:r>
    </w:p>
    <w:p>
      <w:pPr>
        <w:spacing w:before="0" w:after="160" w:line="280"/>
      </w:pPr>
      <w:r>
        <w:rPr>
          <w:rFonts w:ascii="DM Sans" w:cs="DM Sans" w:eastAsia="DM Sans" w:hAnsi="DM Sans"/>
          <w:b w:val="false"/>
          <w:bCs w:val="false"/>
          <w:color w:val="B3C2CD"/>
          <w:sz w:val="22"/>
          <w:szCs w:val="22"/>
        </w:rPr>
        <w:t xml:space="preserve">Every Ansai product reports these numbers monthly. No exceptions. The team sees these numbers. Investors (when they exist) see these numbers. The founder sees these numbers every week.</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MRR</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Monthly Recurring Revenue. The most important number after weekly active institutions.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Burn rate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Total monthly cash outflow. Cash in bank divided by burn rate equals runway in months.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Runway</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How many months of operating capital remain at current burn. Must be visible at all times.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CAC</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Customer Acquisition Cost. What does it cost to onboard one paying school, including Mshauri Engineer time?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LTV</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Lifetime Value per school. Average monthly revenue multiplied by average school tenure.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Churn rate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Percentage of schools that cancel per month. The most important retention signal.</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Collection rate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For EduManage specifically — the fee collection rate across all schools on the platform. This is the product's impact metric.</w:t>
            </w:r>
          </w:p>
        </w:tc>
      </w:tr>
    </w:tbl>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07 — Document control</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Document ID</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GFP-001</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Version</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1.0</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Parent doc</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GID-001 — Ansai Group Identity Document</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Owner</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Founder — Ansai Technologies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Review cycle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Quarterly — financial philosophy must reflect current stage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Access</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Founder + any board members. Salary and equity sections: founder only until first hire.</w:t>
            </w:r>
          </w:p>
        </w:tc>
      </w:tr>
    </w:tbl>
    <w:p>
      <w:pPr>
        <w:spacing w:before="120" w:after="120" w:line="280"/>
      </w:pPr>
      <w:r>
        <w:rPr>
          <w:rFonts w:ascii="DM Sans" w:cs="DM Sans" w:eastAsia="DM Sans" w:hAnsi="DM Sans"/>
          <w:b w:val="false"/>
          <w:bCs w:val="false"/>
          <w:color w:val="B3C2CD"/>
          <w:sz w:val="22"/>
          <w:szCs w:val="22"/>
        </w:rPr>
        <w:t xml:space="preserve"/>
      </w:r>
    </w:p>
    <w:p>
      <w:pPr>
        <w:spacing w:before="0" w:after="120" w:line="280"/>
      </w:pPr>
      <w:r>
        <w:rPr>
          <w:rFonts w:ascii="Courier New" w:cs="Courier New" w:eastAsia="Courier New" w:hAnsi="Courier New"/>
          <w:b w:val="false"/>
          <w:bCs w:val="false"/>
          <w:color w:val="667A8A"/>
          <w:sz w:val="18"/>
          <w:szCs w:val="18"/>
        </w:rPr>
        <w:t xml:space="preserve">Ansai Technologies  ·  Financial Philosophy  ·  GFP-001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040" w:sz="4"/>
      </w:pBdr>
      <w:tabs>
        <w:tab w:val="right" w:pos="9026"/>
      </w:tabs>
      <w:spacing w:before="0"/>
    </w:pPr>
    <w:r>
      <w:rPr>
        <w:rFonts w:ascii="Courier New" w:cs="Courier New" w:eastAsia="Courier New" w:hAnsi="Courier New"/>
        <w:b w:val="false"/>
        <w:bCs w:val="false"/>
        <w:color w:val="667A8A"/>
        <w:sz w:val="16"/>
        <w:szCs w:val="16"/>
      </w:rPr>
      <w:t xml:space="preserve">v1.0 — March 2026</w:t>
    </w:r>
    <w:r>
      <w:rPr>
        <w:rFonts w:ascii="DM Sans" w:cs="DM Sans" w:eastAsia="DM Sans" w:hAnsi="DM Sans"/>
      </w:rPr>
      <w:t xml:space="preserve">	</w:t>
    </w:r>
    <w:r>
      <w:rPr>
        <w:rFonts w:ascii="Courier New" w:cs="Courier New" w:eastAsia="Courier New" w:hAnsi="Courier New"/>
        <w:b w:val="false"/>
        <w:bCs w:val="false"/>
        <w:color w:val="667A8A"/>
        <w:sz w:val="16"/>
        <w:szCs w:val="16"/>
      </w:rPr>
      <w:t xml:space="preserve">Page </w:t>
    </w:r>
    <w:r>
      <w:rPr>
        <w:rFonts w:ascii="Courier New" w:cs="Courier New" w:eastAsia="Courier New" w:hAnsi="Courier New"/>
        <w:color w:val="667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040" w:sz="4"/>
      </w:pBdr>
      <w:spacing w:after="0"/>
    </w:pPr>
    <w:r>
      <w:rPr>
        <w:rFonts w:ascii="Courier New" w:cs="Courier New" w:eastAsia="Courier New" w:hAnsi="Courier New"/>
        <w:b w:val="false"/>
        <w:bCs w:val="false"/>
        <w:color w:val="667A8A"/>
        <w:sz w:val="16"/>
        <w:szCs w:val="16"/>
      </w:rPr>
      <w:t xml:space="preserve">ANSAI TECHNOLOGIES</w:t>
    </w:r>
    <w:r>
      <w:rPr>
        <w:rFonts w:ascii="DM Sans" w:cs="DM Sans" w:eastAsia="DM Sans" w:hAnsi="DM Sans"/>
        <w:color w:val="1E3040"/>
        <w:sz w:val="16"/>
        <w:szCs w:val="16"/>
      </w:rPr>
      <w:t xml:space="preserve">   ·   </w:t>
    </w:r>
    <w:r>
      <w:rPr>
        <w:rFonts w:ascii="Courier New" w:cs="Courier New" w:eastAsia="Courier New" w:hAnsi="Courier New"/>
        <w:b w:val="false"/>
        <w:bCs w:val="false"/>
        <w:color w:val="667A8A"/>
        <w:sz w:val="16"/>
        <w:szCs w:val="16"/>
      </w:rPr>
      <w:t xml:space="preserve">FINANCIAL PHILOSOPHY — GFP-001</w:t>
    </w:r>
    <w:r>
      <w:rPr>
        <w:rFonts w:ascii="DM Sans" w:cs="DM Sans" w:eastAsia="DM Sans" w:hAnsi="DM Sans"/>
        <w:color w:val="1E3040"/>
        <w:sz w:val="16"/>
        <w:szCs w:val="16"/>
      </w:rPr>
      <w:t xml:space="preserve">   ·   </w:t>
    </w:r>
    <w:r>
      <w:rPr>
        <w:rFonts w:ascii="Courier New" w:cs="Courier New" w:eastAsia="Courier New" w:hAnsi="Courier New"/>
        <w:b w:val="false"/>
        <w:bCs w:val="false"/>
        <w:color w:val="F87171"/>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DM Sans" w:cs="DM Sans" w:eastAsia="DM Sans" w:hAnsi="DM Sans"/>
        <w:color w:val="2DE8E8"/>
        <w:sz w:val="22"/>
        <w:szCs w:val="22"/>
      </w:rPr>
    </w:lvl>
  </w:abstractNum>
  <w:abstractNum w:abstractNumId="3" w15:restartNumberingAfterBreak="0">
    <w:multiLevelType w:val="hybridMultilevel"/>
    <w:lvl w:ilvl="0" w15:tentative="1">
      <w:start w:val="1"/>
      <w:numFmt w:val="decimal"/>
      <w:lvlText w:val="%1."/>
      <w:lvlJc w:val="left"/>
      <w:pPr>
        <w:ind w:left="560" w:hanging="280"/>
      </w:pPr>
      <w:rPr>
        <w:rFonts w:ascii="DM Sans" w:cs="DM Sans" w:eastAsia="DM Sans" w:hAnsi="DM Sans"/>
        <w:color w:val="2DE8E8"/>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B3C2C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DM Sans" w:cs="DM Sans" w:eastAsia="DM Sans" w:hAnsi="DM Sans"/>
      <w:b/>
      <w:bCs/>
      <w:color w:val="FFFFFF"/>
      <w:sz w:val="40"/>
      <w:szCs w:val="40"/>
    </w:rPr>
  </w:style>
  <w:style w:type="paragraph" w:styleId="Heading2">
    <w:name w:val="Heading 2"/>
    <w:basedOn w:val="Normal"/>
    <w:next w:val="Normal"/>
    <w:qFormat/>
    <w:pPr>
      <w:spacing w:before="360" w:after="120"/>
      <w:outlineLvl w:val="1"/>
    </w:pPr>
    <w:rPr>
      <w:rFonts w:ascii="DM Sans" w:cs="DM Sans" w:eastAsia="DM Sans" w:hAnsi="DM Sans"/>
      <w:b/>
      <w:bCs/>
      <w:color w:val="FFFFFF"/>
      <w:sz w:val="28"/>
      <w:szCs w:val="28"/>
    </w:rPr>
  </w:style>
  <w:style w:type="paragraph" w:styleId="Heading3">
    <w:name w:val="Heading 3"/>
    <w:basedOn w:val="Normal"/>
    <w:next w:val="Normal"/>
    <w:qFormat/>
    <w:pPr>
      <w:spacing w:before="240" w:after="80"/>
      <w:outlineLvl w:val="2"/>
    </w:pPr>
    <w:rPr>
      <w:rFonts w:ascii="DM Sans" w:cs="DM Sans" w:eastAsia="DM Sans" w:hAnsi="DM Sans"/>
      <w:b/>
      <w:bCs/>
      <w:color w:val="2DE8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2026-03-21T22:04:23.615Z</dcterms:created>
  <dcterms:modified xsi:type="dcterms:W3CDTF">2026-03-21T22:04:23.615Z</dcterms:modified>
</cp:coreProperties>
</file>

<file path=docProps/custom.xml><?xml version="1.0" encoding="utf-8"?>
<Properties xmlns="http://schemas.openxmlformats.org/officeDocument/2006/custom-properties" xmlns:vt="http://schemas.openxmlformats.org/officeDocument/2006/docPropsVTypes"/>
</file>