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AB986" w14:textId="0FA4A1B3"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1. Lógica General del Sistema</w:t>
      </w:r>
    </w:p>
    <w:p w14:paraId="147F138E" w14:textId="3DFA99D5" w:rsidR="003538E3" w:rsidRPr="003538E3" w:rsidRDefault="003538E3" w:rsidP="00DC0407">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El Sistema Integral de Gestión Parroquial (SIGP) se concibe como una plataforma centralizada que unifica la información y los procesos administrativos de la Parroquia </w:t>
      </w:r>
      <w:r w:rsidRPr="003538E3">
        <w:rPr>
          <w:rFonts w:ascii="Times New Roman" w:eastAsia="Times New Roman" w:hAnsi="Times New Roman" w:cs="Times New Roman"/>
          <w:i/>
          <w:iCs/>
          <w:kern w:val="0"/>
          <w:sz w:val="24"/>
          <w:szCs w:val="24"/>
          <w:lang w:eastAsia="es-EC"/>
          <w14:ligatures w14:val="none"/>
        </w:rPr>
        <w:t xml:space="preserve">Nuestra Señora de </w:t>
      </w:r>
      <w:r w:rsidR="00C71F95">
        <w:rPr>
          <w:rFonts w:ascii="Times New Roman" w:eastAsia="Times New Roman" w:hAnsi="Times New Roman" w:cs="Times New Roman"/>
          <w:i/>
          <w:iCs/>
          <w:kern w:val="0"/>
          <w:sz w:val="24"/>
          <w:szCs w:val="24"/>
          <w:lang w:eastAsia="es-EC"/>
          <w14:ligatures w14:val="none"/>
        </w:rPr>
        <w:t xml:space="preserve">Guadalupe </w:t>
      </w:r>
      <w:r w:rsidRPr="003538E3">
        <w:rPr>
          <w:rFonts w:ascii="Times New Roman" w:eastAsia="Times New Roman" w:hAnsi="Times New Roman" w:cs="Times New Roman"/>
          <w:kern w:val="0"/>
          <w:sz w:val="24"/>
          <w:szCs w:val="24"/>
          <w:lang w:eastAsia="es-EC"/>
          <w14:ligatures w14:val="none"/>
        </w:rPr>
        <w:t>y sus nueve capillas. El sistema ofrece un punto único de acceso para todos los roles —laicos, catequistas, coordinadores, sacerdotes y miembros de comunidades— permitiendo consultar información clave, registrar solicitudes y gestionar actividades de forma ágil y confiable. Su objetivo es resolver los problemas derivados de la gestión manual y dispersa, evitando pérdida de datos, retrasos en la respuesta a solicitudes y descoordinación entre capillas.</w:t>
      </w:r>
    </w:p>
    <w:p w14:paraId="6A1DF757" w14:textId="3C74A62A"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2. Lógica de Servicios Generales para Laicos</w:t>
      </w:r>
    </w:p>
    <w:p w14:paraId="1AA6ACC2" w14:textId="43018F5F"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Los laicos acceden a funciones de consulta y registro de solicitudes, constituyendo la base del uso comunitario del sistema. El SIGP les permite visualizar los horarios de misa, revisar la lista de capillas y acceder a información detallada de cada una, incluyendo ubicación, imagen de referencia y descripción de cómo llegar. Los usuarios pueden consultar anuncios de actividades tanto de su capilla como de la parroquia, y recibir notificaciones sobre eventos, festividades o actividades especiales. Además, se habilita el registro de solicitudes de apoyo económico —con prioridad para miembros activos de comunidades— así como solicitudes de servicios sacramentales: bautizo, matrimonio, unción de enfermos y velorio, incluyendo la inscripción a cursos bautismales y </w:t>
      </w:r>
      <w:r w:rsidR="00C71F95" w:rsidRPr="003538E3">
        <w:rPr>
          <w:rFonts w:ascii="Times New Roman" w:eastAsia="Times New Roman" w:hAnsi="Times New Roman" w:cs="Times New Roman"/>
          <w:kern w:val="0"/>
          <w:sz w:val="24"/>
          <w:szCs w:val="24"/>
          <w:lang w:eastAsia="es-EC"/>
          <w14:ligatures w14:val="none"/>
        </w:rPr>
        <w:t>prematrimoniales</w:t>
      </w:r>
      <w:r w:rsidRPr="003538E3">
        <w:rPr>
          <w:rFonts w:ascii="Times New Roman" w:eastAsia="Times New Roman" w:hAnsi="Times New Roman" w:cs="Times New Roman"/>
          <w:kern w:val="0"/>
          <w:sz w:val="24"/>
          <w:szCs w:val="24"/>
          <w:lang w:eastAsia="es-EC"/>
          <w14:ligatures w14:val="none"/>
        </w:rPr>
        <w:t>. Finalmente, los laicos pueden registrar compras, ventas o donaciones relacionadas con actividades parroquiales.</w:t>
      </w:r>
    </w:p>
    <w:p w14:paraId="073E5463" w14:textId="3A3CA585"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7D381F7F" w14:textId="44E98520"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3. Lógica de Catequesis y Atención a Catequistas</w:t>
      </w:r>
    </w:p>
    <w:p w14:paraId="6D1D3A8D" w14:textId="2DE6066E"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El sistema facilita la organización del trabajo catequético mediante herramientas específicas para catequistas. Cada catequista puede visualizar anuncios internos relacionados con reuniones de formación o actividades parroquiales. Además, el SIGP permite registrar y actualizar listas de niños y jóvenes por nivel de catequesis: infancia, comunión, prejuvenil y confirmación. Para cada nivel se documentan actividades catequéticas, y en los niveles sacramentales (comunión y confirmación) se habilitan solicitudes de misas sacramentales. </w:t>
      </w:r>
    </w:p>
    <w:p w14:paraId="155C3753" w14:textId="43A6B316"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0DC3279F" w14:textId="4DA4EFA5"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4. Lógica de Administración Sacramental y Ministerial</w:t>
      </w:r>
    </w:p>
    <w:p w14:paraId="12D3C8A5" w14:textId="77777777"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Los sacerdotes y ministros de palabra disponen de herramientas administrativas avanzadas para gestionar los aspectos sacramentales y formativos. El SIGP centraliza la gestión de cursos bautismales y </w:t>
      </w:r>
      <w:proofErr w:type="spellStart"/>
      <w:r w:rsidRPr="003538E3">
        <w:rPr>
          <w:rFonts w:ascii="Times New Roman" w:eastAsia="Times New Roman" w:hAnsi="Times New Roman" w:cs="Times New Roman"/>
          <w:kern w:val="0"/>
          <w:sz w:val="24"/>
          <w:szCs w:val="24"/>
          <w:lang w:eastAsia="es-EC"/>
          <w14:ligatures w14:val="none"/>
        </w:rPr>
        <w:t>pre-matrimoniales</w:t>
      </w:r>
      <w:proofErr w:type="spellEnd"/>
      <w:r w:rsidRPr="003538E3">
        <w:rPr>
          <w:rFonts w:ascii="Times New Roman" w:eastAsia="Times New Roman" w:hAnsi="Times New Roman" w:cs="Times New Roman"/>
          <w:kern w:val="0"/>
          <w:sz w:val="24"/>
          <w:szCs w:val="24"/>
          <w:lang w:eastAsia="es-EC"/>
          <w14:ligatures w14:val="none"/>
        </w:rPr>
        <w:t>, permitiendo controlar inscripciones, asistencia, fechas y emisión de certificados. Asimismo, los sacerdotes pueden recibir y visualizar todas las solicitudes de eucaristías provenientes de cualquier capilla, evitando duplicaciones y manteniendo un orden en la programación litúrgica. El sistema también permite asignar celebrantes y establecer horarios disponibles para bautizos, matrimonios, confirmaciones u otros servicios religiosos.</w:t>
      </w:r>
    </w:p>
    <w:p w14:paraId="61C51929" w14:textId="6D312FAD"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61633513" w14:textId="4B8A70AC"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5. Lógica de </w:t>
      </w:r>
      <w:proofErr w:type="spellStart"/>
      <w:r w:rsidRPr="003538E3">
        <w:rPr>
          <w:rFonts w:ascii="Times New Roman" w:eastAsia="Times New Roman" w:hAnsi="Times New Roman" w:cs="Times New Roman"/>
          <w:b/>
          <w:bCs/>
          <w:kern w:val="0"/>
          <w:sz w:val="27"/>
          <w:szCs w:val="27"/>
          <w:lang w:eastAsia="es-EC"/>
          <w14:ligatures w14:val="none"/>
        </w:rPr>
        <w:t>CEBs</w:t>
      </w:r>
      <w:proofErr w:type="spellEnd"/>
      <w:r w:rsidRPr="003538E3">
        <w:rPr>
          <w:rFonts w:ascii="Times New Roman" w:eastAsia="Times New Roman" w:hAnsi="Times New Roman" w:cs="Times New Roman"/>
          <w:b/>
          <w:bCs/>
          <w:kern w:val="0"/>
          <w:sz w:val="27"/>
          <w:szCs w:val="27"/>
          <w:lang w:eastAsia="es-EC"/>
          <w14:ligatures w14:val="none"/>
        </w:rPr>
        <w:t xml:space="preserve"> (Comunidades Eclesiales de Base)</w:t>
      </w:r>
    </w:p>
    <w:p w14:paraId="35F80B6B" w14:textId="77777777"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Cada comunidad de base opera con autonomía en sus actividades internas, por lo que el sistema debe registrar y controlar su tesorería. El SIGP permite que los </w:t>
      </w:r>
      <w:proofErr w:type="spellStart"/>
      <w:r w:rsidRPr="003538E3">
        <w:rPr>
          <w:rFonts w:ascii="Times New Roman" w:eastAsia="Times New Roman" w:hAnsi="Times New Roman" w:cs="Times New Roman"/>
          <w:kern w:val="0"/>
          <w:sz w:val="24"/>
          <w:szCs w:val="24"/>
          <w:lang w:eastAsia="es-EC"/>
          <w14:ligatures w14:val="none"/>
        </w:rPr>
        <w:t>CEBs</w:t>
      </w:r>
      <w:proofErr w:type="spellEnd"/>
      <w:r w:rsidRPr="003538E3">
        <w:rPr>
          <w:rFonts w:ascii="Times New Roman" w:eastAsia="Times New Roman" w:hAnsi="Times New Roman" w:cs="Times New Roman"/>
          <w:kern w:val="0"/>
          <w:sz w:val="24"/>
          <w:szCs w:val="24"/>
          <w:lang w:eastAsia="es-EC"/>
          <w14:ligatures w14:val="none"/>
        </w:rPr>
        <w:t xml:space="preserve"> registren ingresos y egresos, visualicen el total automáticamente y mantengan un historial de movimientos actualizado. Los recordatorios de deudas o pagos pendientes evitan desorden financiero y ayudan a transparentar los fondos. Estos datos se consolidan posteriormente a nivel capilla y finalmente a nivel parroquia, estructurando un flujo económico claro desde lo local hacia lo general.</w:t>
      </w:r>
    </w:p>
    <w:p w14:paraId="07DAE8D5" w14:textId="12FEF424"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7422E880" w14:textId="19114743"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6. Lógica de Coordinación en Capillas</w:t>
      </w:r>
    </w:p>
    <w:p w14:paraId="7A3E6E62" w14:textId="77777777"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En cada capilla, el coordinador tiene funciones administrativas centrales. El SIGP permite registrar o actualizar listas de miembros de la comunidad, documentar las actividades que se realizan en la capilla y enviar anuncios importantes con fecha, lugar y responsables. Esta información constituye la base de los reportes que cada capilla debe presentar a la parroquia en las distintas reuniones. El sistema facilita que el coordinador mantenga información actualizada, reduciendo el riesgo de inconsistencias entre datos de capilla y datos parroquiales.</w:t>
      </w:r>
    </w:p>
    <w:p w14:paraId="481D976B" w14:textId="59E8B8F5"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3246BA6A" w14:textId="46E78179"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7. Lógica de Prioridad y Gestión de Miembros</w:t>
      </w:r>
    </w:p>
    <w:p w14:paraId="5E6A467A" w14:textId="77777777"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Los miembros de una comunidad CEB, ya sean laicos o catequistas, tienen un rol particular dentro de la estructura parroquial. Por ser parte activa de las comunidades de base, el sistema les otorga una prioridad especial en solicitudes de apoyo económico y acceso a actividades internas. Esta diferenciación permite que los recursos y servicios se gestionen de forma más justa y organizada, reconociendo el compromiso y participación de los miembros en la vida comunitaria.</w:t>
      </w:r>
    </w:p>
    <w:p w14:paraId="2E1EAB96" w14:textId="500C6B77"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69A9573B" w14:textId="3A5ED846"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8. Lógica Parroquial: Coordinación </w:t>
      </w:r>
      <w:proofErr w:type="spellStart"/>
      <w:r w:rsidRPr="003538E3">
        <w:rPr>
          <w:rFonts w:ascii="Times New Roman" w:eastAsia="Times New Roman" w:hAnsi="Times New Roman" w:cs="Times New Roman"/>
          <w:b/>
          <w:bCs/>
          <w:kern w:val="0"/>
          <w:sz w:val="27"/>
          <w:szCs w:val="27"/>
          <w:lang w:eastAsia="es-EC"/>
          <w14:ligatures w14:val="none"/>
        </w:rPr>
        <w:t>Intercapillas</w:t>
      </w:r>
      <w:proofErr w:type="spellEnd"/>
    </w:p>
    <w:p w14:paraId="124BBE9E" w14:textId="77F57394" w:rsidR="003538E3" w:rsidRDefault="003538E3" w:rsidP="00C71F95">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A nivel parroquia, el SIGP centraliza la coordinación de actividades entre las nueve capillas. En la Reunión General de </w:t>
      </w:r>
      <w:proofErr w:type="spellStart"/>
      <w:r w:rsidRPr="003538E3">
        <w:rPr>
          <w:rFonts w:ascii="Times New Roman" w:eastAsia="Times New Roman" w:hAnsi="Times New Roman" w:cs="Times New Roman"/>
          <w:kern w:val="0"/>
          <w:sz w:val="24"/>
          <w:szCs w:val="24"/>
          <w:lang w:eastAsia="es-EC"/>
          <w14:ligatures w14:val="none"/>
        </w:rPr>
        <w:t>CEBs</w:t>
      </w:r>
      <w:proofErr w:type="spellEnd"/>
      <w:r w:rsidRPr="003538E3">
        <w:rPr>
          <w:rFonts w:ascii="Times New Roman" w:eastAsia="Times New Roman" w:hAnsi="Times New Roman" w:cs="Times New Roman"/>
          <w:kern w:val="0"/>
          <w:sz w:val="24"/>
          <w:szCs w:val="24"/>
          <w:lang w:eastAsia="es-EC"/>
          <w14:ligatures w14:val="none"/>
        </w:rPr>
        <w:t>, los representantes de cada capilla presentan sus actividades, registros económicos e informes de miembros. El sistema facilita la generación de reportes automáticos, permite comparar horarios y evita conflictos entre actividades grandes. El resultado esperado es un calendario parroquial unificado, con datos actualizados de cada capilla y un registro económico consolidado que se integra a los fondos parroquiales.</w:t>
      </w:r>
    </w:p>
    <w:p w14:paraId="753F3D1A" w14:textId="77777777" w:rsidR="00DC0407" w:rsidRPr="003538E3" w:rsidRDefault="00DC0407" w:rsidP="00C71F95">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p>
    <w:p w14:paraId="7EDC6838" w14:textId="639BBCAF"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lastRenderedPageBreak/>
        <w:t xml:space="preserve"> 9. Lógica Parroquial: Gestión Directiva y Fondos Especiales</w:t>
      </w:r>
    </w:p>
    <w:p w14:paraId="68972EB8" w14:textId="77777777" w:rsidR="003538E3"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La Reunión Directiva Parroquial reúne a cinco delegados de cada capilla junto con los tesoreros parroquiales y los sacerdotes coordinadores. El SIGP se encarga de consolidar información de los fondos parroquiales, permitiendo revisar saldos, aprobar gastos, gestionar necesidades de cada capilla y planificar proyectos conjuntos. Entre los fondos administrados se encuentran el fondo general, el fondo de ayuda al necesitado, el fondo de salud, los fondos de catequesis por nivel y el fondo de proyectos parroquiales. El sistema genera informes finales que reflejan decisiones financieras y actualizaciones de cada fondo.</w:t>
      </w:r>
    </w:p>
    <w:p w14:paraId="0AE824C9" w14:textId="0783939E" w:rsidR="003538E3" w:rsidRPr="003538E3" w:rsidRDefault="003538E3" w:rsidP="003538E3">
      <w:pPr>
        <w:spacing w:after="0" w:line="240" w:lineRule="auto"/>
        <w:jc w:val="both"/>
        <w:rPr>
          <w:rFonts w:ascii="Times New Roman" w:eastAsia="Times New Roman" w:hAnsi="Times New Roman" w:cs="Times New Roman"/>
          <w:kern w:val="0"/>
          <w:sz w:val="24"/>
          <w:szCs w:val="24"/>
          <w:lang w:eastAsia="es-EC"/>
          <w14:ligatures w14:val="none"/>
        </w:rPr>
      </w:pPr>
    </w:p>
    <w:p w14:paraId="06D7E1A1" w14:textId="68A27BCF" w:rsidR="003538E3" w:rsidRPr="003538E3" w:rsidRDefault="003538E3" w:rsidP="003538E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es-EC"/>
          <w14:ligatures w14:val="none"/>
        </w:rPr>
      </w:pPr>
      <w:r w:rsidRPr="003538E3">
        <w:rPr>
          <w:rFonts w:ascii="Times New Roman" w:eastAsia="Times New Roman" w:hAnsi="Times New Roman" w:cs="Times New Roman"/>
          <w:b/>
          <w:bCs/>
          <w:kern w:val="0"/>
          <w:sz w:val="27"/>
          <w:szCs w:val="27"/>
          <w:lang w:eastAsia="es-EC"/>
          <w14:ligatures w14:val="none"/>
        </w:rPr>
        <w:t xml:space="preserve"> 10. Lógica Parroquial: Reuniones de Catequesis por Nivel</w:t>
      </w:r>
    </w:p>
    <w:p w14:paraId="54C000C9" w14:textId="69610236" w:rsidR="00FC0650" w:rsidRPr="003538E3" w:rsidRDefault="003538E3" w:rsidP="003538E3">
      <w:pPr>
        <w:spacing w:before="100" w:beforeAutospacing="1" w:after="100" w:afterAutospacing="1" w:line="240" w:lineRule="auto"/>
        <w:jc w:val="both"/>
        <w:rPr>
          <w:rFonts w:ascii="Times New Roman" w:eastAsia="Times New Roman" w:hAnsi="Times New Roman" w:cs="Times New Roman"/>
          <w:kern w:val="0"/>
          <w:sz w:val="24"/>
          <w:szCs w:val="24"/>
          <w:lang w:eastAsia="es-EC"/>
          <w14:ligatures w14:val="none"/>
        </w:rPr>
      </w:pPr>
      <w:r w:rsidRPr="003538E3">
        <w:rPr>
          <w:rFonts w:ascii="Times New Roman" w:eastAsia="Times New Roman" w:hAnsi="Times New Roman" w:cs="Times New Roman"/>
          <w:kern w:val="0"/>
          <w:sz w:val="24"/>
          <w:szCs w:val="24"/>
          <w:lang w:eastAsia="es-EC"/>
          <w14:ligatures w14:val="none"/>
        </w:rPr>
        <w:t xml:space="preserve">Para uniformar la formación catequética, los catequistas de las nueve capillas se reúnen por nivel (infancia, comunión, prejuvenil, confirmación). El SIGP soporta esta dinámica proporcionando herramientas para planificar actividades parroquiales de formación, compartir materiales, establecer metodologías comunes y coordinar eventos </w:t>
      </w:r>
      <w:proofErr w:type="spellStart"/>
      <w:r w:rsidRPr="003538E3">
        <w:rPr>
          <w:rFonts w:ascii="Times New Roman" w:eastAsia="Times New Roman" w:hAnsi="Times New Roman" w:cs="Times New Roman"/>
          <w:kern w:val="0"/>
          <w:sz w:val="24"/>
          <w:szCs w:val="24"/>
          <w:lang w:eastAsia="es-EC"/>
          <w14:ligatures w14:val="none"/>
        </w:rPr>
        <w:t>intercapillas</w:t>
      </w:r>
      <w:proofErr w:type="spellEnd"/>
      <w:r w:rsidRPr="003538E3">
        <w:rPr>
          <w:rFonts w:ascii="Times New Roman" w:eastAsia="Times New Roman" w:hAnsi="Times New Roman" w:cs="Times New Roman"/>
          <w:kern w:val="0"/>
          <w:sz w:val="24"/>
          <w:szCs w:val="24"/>
          <w:lang w:eastAsia="es-EC"/>
          <w14:ligatures w14:val="none"/>
        </w:rPr>
        <w:t>. En algunos casos, también se actualizan listas de estudiantes y registros de tesorería del nivel. Esto permite unificar criterios y mantener un estándar formativo común en toda la parroquia.</w:t>
      </w:r>
    </w:p>
    <w:sectPr w:rsidR="00FC0650" w:rsidRPr="003538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18F7"/>
    <w:multiLevelType w:val="multilevel"/>
    <w:tmpl w:val="E8884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0519"/>
    <w:multiLevelType w:val="multilevel"/>
    <w:tmpl w:val="7234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A212E"/>
    <w:multiLevelType w:val="multilevel"/>
    <w:tmpl w:val="499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E6D7B"/>
    <w:multiLevelType w:val="multilevel"/>
    <w:tmpl w:val="910A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B5215"/>
    <w:multiLevelType w:val="multilevel"/>
    <w:tmpl w:val="86C24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72455"/>
    <w:multiLevelType w:val="multilevel"/>
    <w:tmpl w:val="F17C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C65C76"/>
    <w:multiLevelType w:val="multilevel"/>
    <w:tmpl w:val="D4CE8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9C640D"/>
    <w:multiLevelType w:val="multilevel"/>
    <w:tmpl w:val="0826F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F0F7B"/>
    <w:multiLevelType w:val="multilevel"/>
    <w:tmpl w:val="0F22F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A6880"/>
    <w:multiLevelType w:val="multilevel"/>
    <w:tmpl w:val="77CC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D73E1"/>
    <w:multiLevelType w:val="multilevel"/>
    <w:tmpl w:val="B59EE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03FE9"/>
    <w:multiLevelType w:val="multilevel"/>
    <w:tmpl w:val="14706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E203D"/>
    <w:multiLevelType w:val="multilevel"/>
    <w:tmpl w:val="0C903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CE7B57"/>
    <w:multiLevelType w:val="multilevel"/>
    <w:tmpl w:val="F6943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16B71"/>
    <w:multiLevelType w:val="multilevel"/>
    <w:tmpl w:val="2C1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1524F"/>
    <w:multiLevelType w:val="multilevel"/>
    <w:tmpl w:val="BBA8A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C852F5"/>
    <w:multiLevelType w:val="multilevel"/>
    <w:tmpl w:val="9BE2B4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A044D2"/>
    <w:multiLevelType w:val="multilevel"/>
    <w:tmpl w:val="EB722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35804"/>
    <w:multiLevelType w:val="multilevel"/>
    <w:tmpl w:val="BA7E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7F2F95"/>
    <w:multiLevelType w:val="multilevel"/>
    <w:tmpl w:val="59F80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CB0AF0"/>
    <w:multiLevelType w:val="multilevel"/>
    <w:tmpl w:val="A1A49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CE4EAC"/>
    <w:multiLevelType w:val="multilevel"/>
    <w:tmpl w:val="C50AB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FF2DDC"/>
    <w:multiLevelType w:val="multilevel"/>
    <w:tmpl w:val="38104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4774CA"/>
    <w:multiLevelType w:val="multilevel"/>
    <w:tmpl w:val="7FC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31E94"/>
    <w:multiLevelType w:val="multilevel"/>
    <w:tmpl w:val="74D23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8133DE"/>
    <w:multiLevelType w:val="multilevel"/>
    <w:tmpl w:val="33EA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1D1D12"/>
    <w:multiLevelType w:val="multilevel"/>
    <w:tmpl w:val="052A88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20FA5"/>
    <w:multiLevelType w:val="multilevel"/>
    <w:tmpl w:val="B01A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A32C90"/>
    <w:multiLevelType w:val="multilevel"/>
    <w:tmpl w:val="8BFA6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C77AED"/>
    <w:multiLevelType w:val="multilevel"/>
    <w:tmpl w:val="59DC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E900B3"/>
    <w:multiLevelType w:val="multilevel"/>
    <w:tmpl w:val="FED0FD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6559FB"/>
    <w:multiLevelType w:val="multilevel"/>
    <w:tmpl w:val="57F23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23324A"/>
    <w:multiLevelType w:val="multilevel"/>
    <w:tmpl w:val="13E0E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B05CDC"/>
    <w:multiLevelType w:val="multilevel"/>
    <w:tmpl w:val="3A924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CC1744"/>
    <w:multiLevelType w:val="multilevel"/>
    <w:tmpl w:val="7758D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940531"/>
    <w:multiLevelType w:val="multilevel"/>
    <w:tmpl w:val="A42E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43A66"/>
    <w:multiLevelType w:val="multilevel"/>
    <w:tmpl w:val="508C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182DCE"/>
    <w:multiLevelType w:val="multilevel"/>
    <w:tmpl w:val="D1D8D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F723AE"/>
    <w:multiLevelType w:val="multilevel"/>
    <w:tmpl w:val="F3B4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0B547C"/>
    <w:multiLevelType w:val="multilevel"/>
    <w:tmpl w:val="9B2C4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F41BBB"/>
    <w:multiLevelType w:val="multilevel"/>
    <w:tmpl w:val="33DA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347E0"/>
    <w:multiLevelType w:val="multilevel"/>
    <w:tmpl w:val="30D48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AA0E26"/>
    <w:multiLevelType w:val="multilevel"/>
    <w:tmpl w:val="D2D0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B6E96"/>
    <w:multiLevelType w:val="multilevel"/>
    <w:tmpl w:val="5EC87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F0ACB"/>
    <w:multiLevelType w:val="multilevel"/>
    <w:tmpl w:val="7296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2D63A8"/>
    <w:multiLevelType w:val="multilevel"/>
    <w:tmpl w:val="BAA86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822100">
    <w:abstractNumId w:val="24"/>
  </w:num>
  <w:num w:numId="2" w16cid:durableId="1837529062">
    <w:abstractNumId w:val="15"/>
  </w:num>
  <w:num w:numId="3" w16cid:durableId="1639609143">
    <w:abstractNumId w:val="39"/>
  </w:num>
  <w:num w:numId="4" w16cid:durableId="53479451">
    <w:abstractNumId w:val="22"/>
  </w:num>
  <w:num w:numId="5" w16cid:durableId="792092747">
    <w:abstractNumId w:val="12"/>
  </w:num>
  <w:num w:numId="6" w16cid:durableId="1996562845">
    <w:abstractNumId w:val="35"/>
  </w:num>
  <w:num w:numId="7" w16cid:durableId="1735349272">
    <w:abstractNumId w:val="13"/>
  </w:num>
  <w:num w:numId="8" w16cid:durableId="1492788645">
    <w:abstractNumId w:val="31"/>
  </w:num>
  <w:num w:numId="9" w16cid:durableId="1186558233">
    <w:abstractNumId w:val="38"/>
  </w:num>
  <w:num w:numId="10" w16cid:durableId="1405294467">
    <w:abstractNumId w:val="8"/>
  </w:num>
  <w:num w:numId="11" w16cid:durableId="2020230202">
    <w:abstractNumId w:val="9"/>
  </w:num>
  <w:num w:numId="12" w16cid:durableId="1290208031">
    <w:abstractNumId w:val="7"/>
  </w:num>
  <w:num w:numId="13" w16cid:durableId="254477929">
    <w:abstractNumId w:val="27"/>
  </w:num>
  <w:num w:numId="14" w16cid:durableId="1679692816">
    <w:abstractNumId w:val="6"/>
  </w:num>
  <w:num w:numId="15" w16cid:durableId="1781679207">
    <w:abstractNumId w:val="29"/>
  </w:num>
  <w:num w:numId="16" w16cid:durableId="797187652">
    <w:abstractNumId w:val="30"/>
  </w:num>
  <w:num w:numId="17" w16cid:durableId="1579511270">
    <w:abstractNumId w:val="45"/>
  </w:num>
  <w:num w:numId="18" w16cid:durableId="1907956285">
    <w:abstractNumId w:val="37"/>
  </w:num>
  <w:num w:numId="19" w16cid:durableId="2036079860">
    <w:abstractNumId w:val="26"/>
  </w:num>
  <w:num w:numId="20" w16cid:durableId="696778767">
    <w:abstractNumId w:val="41"/>
  </w:num>
  <w:num w:numId="21" w16cid:durableId="1154833359">
    <w:abstractNumId w:val="36"/>
  </w:num>
  <w:num w:numId="22" w16cid:durableId="2095009276">
    <w:abstractNumId w:val="25"/>
  </w:num>
  <w:num w:numId="23" w16cid:durableId="602962491">
    <w:abstractNumId w:val="2"/>
  </w:num>
  <w:num w:numId="24" w16cid:durableId="248739402">
    <w:abstractNumId w:val="0"/>
  </w:num>
  <w:num w:numId="25" w16cid:durableId="1913390495">
    <w:abstractNumId w:val="23"/>
  </w:num>
  <w:num w:numId="26" w16cid:durableId="1750543260">
    <w:abstractNumId w:val="32"/>
  </w:num>
  <w:num w:numId="27" w16cid:durableId="1136416922">
    <w:abstractNumId w:val="14"/>
  </w:num>
  <w:num w:numId="28" w16cid:durableId="606042936">
    <w:abstractNumId w:val="33"/>
  </w:num>
  <w:num w:numId="29" w16cid:durableId="1532111615">
    <w:abstractNumId w:val="40"/>
  </w:num>
  <w:num w:numId="30" w16cid:durableId="1427771741">
    <w:abstractNumId w:val="11"/>
  </w:num>
  <w:num w:numId="31" w16cid:durableId="1234660147">
    <w:abstractNumId w:val="17"/>
  </w:num>
  <w:num w:numId="32" w16cid:durableId="1060178852">
    <w:abstractNumId w:val="20"/>
  </w:num>
  <w:num w:numId="33" w16cid:durableId="1416241567">
    <w:abstractNumId w:val="44"/>
  </w:num>
  <w:num w:numId="34" w16cid:durableId="577792035">
    <w:abstractNumId w:val="43"/>
  </w:num>
  <w:num w:numId="35" w16cid:durableId="1003968868">
    <w:abstractNumId w:val="19"/>
  </w:num>
  <w:num w:numId="36" w16cid:durableId="944768825">
    <w:abstractNumId w:val="5"/>
  </w:num>
  <w:num w:numId="37" w16cid:durableId="711657083">
    <w:abstractNumId w:val="21"/>
  </w:num>
  <w:num w:numId="38" w16cid:durableId="912162510">
    <w:abstractNumId w:val="16"/>
  </w:num>
  <w:num w:numId="39" w16cid:durableId="1912229752">
    <w:abstractNumId w:val="4"/>
  </w:num>
  <w:num w:numId="40" w16cid:durableId="30889183">
    <w:abstractNumId w:val="34"/>
  </w:num>
  <w:num w:numId="41" w16cid:durableId="642540836">
    <w:abstractNumId w:val="18"/>
  </w:num>
  <w:num w:numId="42" w16cid:durableId="496652907">
    <w:abstractNumId w:val="28"/>
  </w:num>
  <w:num w:numId="43" w16cid:durableId="2144425973">
    <w:abstractNumId w:val="1"/>
  </w:num>
  <w:num w:numId="44" w16cid:durableId="1288510982">
    <w:abstractNumId w:val="3"/>
  </w:num>
  <w:num w:numId="45" w16cid:durableId="1260258551">
    <w:abstractNumId w:val="42"/>
  </w:num>
  <w:num w:numId="46" w16cid:durableId="12427165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A0A"/>
    <w:rsid w:val="001A21BD"/>
    <w:rsid w:val="003538E3"/>
    <w:rsid w:val="005D61A9"/>
    <w:rsid w:val="00774A0A"/>
    <w:rsid w:val="007D38C1"/>
    <w:rsid w:val="007D4C71"/>
    <w:rsid w:val="008C31CC"/>
    <w:rsid w:val="00C40EE6"/>
    <w:rsid w:val="00C71F95"/>
    <w:rsid w:val="00DC0407"/>
    <w:rsid w:val="00FC0650"/>
    <w:rsid w:val="00FD43F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0DDA"/>
  <w15:chartTrackingRefBased/>
  <w15:docId w15:val="{A79DB40B-D46D-4BA3-94AC-FD455B6E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74A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74A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774A0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74A0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74A0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74A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74A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74A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74A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4A0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74A0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774A0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74A0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74A0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74A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74A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74A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74A0A"/>
    <w:rPr>
      <w:rFonts w:eastAsiaTheme="majorEastAsia" w:cstheme="majorBidi"/>
      <w:color w:val="272727" w:themeColor="text1" w:themeTint="D8"/>
    </w:rPr>
  </w:style>
  <w:style w:type="paragraph" w:styleId="Ttulo">
    <w:name w:val="Title"/>
    <w:basedOn w:val="Normal"/>
    <w:next w:val="Normal"/>
    <w:link w:val="TtuloCar"/>
    <w:uiPriority w:val="10"/>
    <w:qFormat/>
    <w:rsid w:val="00774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74A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74A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74A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74A0A"/>
    <w:pPr>
      <w:spacing w:before="160"/>
      <w:jc w:val="center"/>
    </w:pPr>
    <w:rPr>
      <w:i/>
      <w:iCs/>
      <w:color w:val="404040" w:themeColor="text1" w:themeTint="BF"/>
    </w:rPr>
  </w:style>
  <w:style w:type="character" w:customStyle="1" w:styleId="CitaCar">
    <w:name w:val="Cita Car"/>
    <w:basedOn w:val="Fuentedeprrafopredeter"/>
    <w:link w:val="Cita"/>
    <w:uiPriority w:val="29"/>
    <w:rsid w:val="00774A0A"/>
    <w:rPr>
      <w:i/>
      <w:iCs/>
      <w:color w:val="404040" w:themeColor="text1" w:themeTint="BF"/>
    </w:rPr>
  </w:style>
  <w:style w:type="paragraph" w:styleId="Prrafodelista">
    <w:name w:val="List Paragraph"/>
    <w:basedOn w:val="Normal"/>
    <w:uiPriority w:val="34"/>
    <w:qFormat/>
    <w:rsid w:val="00774A0A"/>
    <w:pPr>
      <w:ind w:left="720"/>
      <w:contextualSpacing/>
    </w:pPr>
  </w:style>
  <w:style w:type="character" w:styleId="nfasisintenso">
    <w:name w:val="Intense Emphasis"/>
    <w:basedOn w:val="Fuentedeprrafopredeter"/>
    <w:uiPriority w:val="21"/>
    <w:qFormat/>
    <w:rsid w:val="00774A0A"/>
    <w:rPr>
      <w:i/>
      <w:iCs/>
      <w:color w:val="2F5496" w:themeColor="accent1" w:themeShade="BF"/>
    </w:rPr>
  </w:style>
  <w:style w:type="paragraph" w:styleId="Citadestacada">
    <w:name w:val="Intense Quote"/>
    <w:basedOn w:val="Normal"/>
    <w:next w:val="Normal"/>
    <w:link w:val="CitadestacadaCar"/>
    <w:uiPriority w:val="30"/>
    <w:qFormat/>
    <w:rsid w:val="00774A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74A0A"/>
    <w:rPr>
      <w:i/>
      <w:iCs/>
      <w:color w:val="2F5496" w:themeColor="accent1" w:themeShade="BF"/>
    </w:rPr>
  </w:style>
  <w:style w:type="character" w:styleId="Referenciaintensa">
    <w:name w:val="Intense Reference"/>
    <w:basedOn w:val="Fuentedeprrafopredeter"/>
    <w:uiPriority w:val="32"/>
    <w:qFormat/>
    <w:rsid w:val="00774A0A"/>
    <w:rPr>
      <w:b/>
      <w:bCs/>
      <w:smallCaps/>
      <w:color w:val="2F5496" w:themeColor="accent1" w:themeShade="BF"/>
      <w:spacing w:val="5"/>
    </w:rPr>
  </w:style>
  <w:style w:type="paragraph" w:styleId="NormalWeb">
    <w:name w:val="Normal (Web)"/>
    <w:basedOn w:val="Normal"/>
    <w:uiPriority w:val="99"/>
    <w:semiHidden/>
    <w:unhideWhenUsed/>
    <w:rsid w:val="003538E3"/>
    <w:pPr>
      <w:spacing w:before="100" w:beforeAutospacing="1" w:after="100" w:afterAutospacing="1" w:line="240" w:lineRule="auto"/>
    </w:pPr>
    <w:rPr>
      <w:rFonts w:ascii="Times New Roman" w:eastAsia="Times New Roman" w:hAnsi="Times New Roman" w:cs="Times New Roman"/>
      <w:kern w:val="0"/>
      <w:sz w:val="24"/>
      <w:szCs w:val="24"/>
      <w:lang w:eastAsia="es-EC"/>
      <w14:ligatures w14:val="none"/>
    </w:rPr>
  </w:style>
  <w:style w:type="character" w:styleId="nfasis">
    <w:name w:val="Emphasis"/>
    <w:basedOn w:val="Fuentedeprrafopredeter"/>
    <w:uiPriority w:val="20"/>
    <w:qFormat/>
    <w:rsid w:val="003538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Pages>
  <Words>1004</Words>
  <Characters>5525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Daniel Loayza Jumbo</dc:creator>
  <cp:keywords/>
  <dc:description/>
  <cp:lastModifiedBy>Roberto Daniel Loayza Jumbo</cp:lastModifiedBy>
  <cp:revision>3</cp:revision>
  <dcterms:created xsi:type="dcterms:W3CDTF">2025-11-11T00:07:00Z</dcterms:created>
  <dcterms:modified xsi:type="dcterms:W3CDTF">2025-11-25T14:29:00Z</dcterms:modified>
</cp:coreProperties>
</file>